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F9E0" w14:textId="379FA601" w:rsidR="00320F7B" w:rsidRPr="000D4D13" w:rsidRDefault="002536EF" w:rsidP="00CE790C">
      <w:pPr>
        <w:pStyle w:val="Ttulo"/>
        <w:tabs>
          <w:tab w:val="center" w:pos="5935"/>
          <w:tab w:val="left" w:pos="8830"/>
        </w:tabs>
        <w:spacing w:before="0" w:after="0" w:line="276" w:lineRule="auto"/>
        <w:jc w:val="left"/>
        <w:rPr>
          <w:rFonts w:ascii="HelveticaNeueLT Std" w:hAnsi="HelveticaNeueLT Std"/>
          <w:sz w:val="20"/>
          <w:szCs w:val="20"/>
        </w:rPr>
      </w:pPr>
      <w:r w:rsidRPr="000D4D13">
        <w:rPr>
          <w:rFonts w:ascii="HelveticaNeueLT Std" w:hAnsi="HelveticaNeueLT Std"/>
          <w:sz w:val="20"/>
          <w:szCs w:val="20"/>
        </w:rPr>
        <w:tab/>
      </w:r>
      <w:r w:rsidR="00320F7B" w:rsidRPr="000D4D13">
        <w:rPr>
          <w:rFonts w:ascii="HelveticaNeueLT Std" w:hAnsi="HelveticaNeueLT Std"/>
          <w:sz w:val="20"/>
          <w:szCs w:val="20"/>
        </w:rPr>
        <w:t>Sinopsis</w:t>
      </w:r>
    </w:p>
    <w:p w14:paraId="02B04DAF" w14:textId="77777777" w:rsidR="00CE790C" w:rsidRPr="000D4D13" w:rsidRDefault="00CE790C" w:rsidP="00CE790C">
      <w:pPr>
        <w:pStyle w:val="Ttulo"/>
        <w:tabs>
          <w:tab w:val="center" w:pos="5935"/>
          <w:tab w:val="left" w:pos="8830"/>
        </w:tabs>
        <w:spacing w:before="0" w:after="0" w:line="276" w:lineRule="auto"/>
        <w:jc w:val="left"/>
        <w:rPr>
          <w:rFonts w:ascii="HelveticaNeueLT Std" w:hAnsi="HelveticaNeueLT Std"/>
          <w:sz w:val="20"/>
          <w:szCs w:val="20"/>
        </w:rPr>
      </w:pPr>
    </w:p>
    <w:p w14:paraId="3450C23E" w14:textId="40A0D378"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74DD7277" w14:textId="77777777" w:rsidR="00CE790C" w:rsidRPr="000D4D13" w:rsidRDefault="00CE790C" w:rsidP="009A45CF">
      <w:pPr>
        <w:spacing w:line="276" w:lineRule="auto"/>
        <w:jc w:val="center"/>
        <w:rPr>
          <w:rFonts w:ascii="HelveticaNeueLT Std" w:hAnsi="HelveticaNeueLT Std" w:cs="Arial"/>
          <w:b/>
          <w:bCs/>
          <w:sz w:val="20"/>
          <w:szCs w:val="20"/>
        </w:rPr>
      </w:pPr>
    </w:p>
    <w:p w14:paraId="2CE0BECB" w14:textId="15EA42B5"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 xml:space="preserve">Período </w:t>
      </w:r>
      <w:r w:rsidR="00E02BAF">
        <w:rPr>
          <w:rFonts w:ascii="HelveticaNeueLT Std" w:hAnsi="HelveticaNeueLT Std" w:cs="Arial"/>
          <w:b/>
          <w:bCs/>
          <w:sz w:val="20"/>
          <w:szCs w:val="20"/>
        </w:rPr>
        <w:t>junio</w:t>
      </w:r>
      <w:r w:rsidR="00860756" w:rsidRPr="000D4D13">
        <w:rPr>
          <w:rFonts w:ascii="HelveticaNeueLT Std" w:hAnsi="HelveticaNeueLT Std" w:cs="Arial"/>
          <w:b/>
          <w:bCs/>
          <w:sz w:val="20"/>
          <w:szCs w:val="20"/>
        </w:rPr>
        <w:t xml:space="preserve"> de 20</w:t>
      </w:r>
      <w:r w:rsidR="000D4D13">
        <w:rPr>
          <w:rFonts w:ascii="HelveticaNeueLT Std" w:hAnsi="HelveticaNeueLT Std" w:cs="Arial"/>
          <w:b/>
          <w:bCs/>
          <w:sz w:val="20"/>
          <w:szCs w:val="20"/>
        </w:rPr>
        <w:t>2</w:t>
      </w:r>
      <w:r w:rsidR="001C569B">
        <w:rPr>
          <w:rFonts w:ascii="HelveticaNeueLT Std" w:hAnsi="HelveticaNeueLT Std" w:cs="Arial"/>
          <w:b/>
          <w:bCs/>
          <w:sz w:val="20"/>
          <w:szCs w:val="20"/>
        </w:rPr>
        <w:t>2</w:t>
      </w:r>
    </w:p>
    <w:p w14:paraId="4FA0F900" w14:textId="77777777" w:rsidR="00320F7B" w:rsidRPr="000D4D13" w:rsidRDefault="00320F7B"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196446">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top w:val="single" w:sz="4" w:space="0" w:color="auto"/>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9A45CF" w:rsidRPr="000D4D13" w14:paraId="67CD7BA4" w14:textId="77777777" w:rsidTr="00196446">
        <w:trPr>
          <w:trHeight w:val="277"/>
        </w:trPr>
        <w:tc>
          <w:tcPr>
            <w:tcW w:w="617" w:type="dxa"/>
            <w:tcBorders>
              <w:top w:val="single" w:sz="4" w:space="0" w:color="auto"/>
              <w:bottom w:val="single" w:sz="4" w:space="0" w:color="auto"/>
            </w:tcBorders>
          </w:tcPr>
          <w:p w14:paraId="093A358B" w14:textId="77777777" w:rsidR="009A45CF" w:rsidRPr="000D4D13" w:rsidRDefault="009A45CF" w:rsidP="009A45CF">
            <w:pPr>
              <w:spacing w:line="276" w:lineRule="auto"/>
              <w:jc w:val="center"/>
              <w:rPr>
                <w:rFonts w:ascii="HelveticaNeueLT Std" w:hAnsi="HelveticaNeueLT Std" w:cs="Arial"/>
                <w:b/>
                <w:bCs/>
                <w:sz w:val="20"/>
                <w:szCs w:val="20"/>
              </w:rPr>
            </w:pPr>
          </w:p>
          <w:p w14:paraId="37EEF82C" w14:textId="20765802" w:rsidR="009A45CF" w:rsidRPr="000D4D13" w:rsidRDefault="00E943C3" w:rsidP="00196446">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w:t>
            </w:r>
            <w:r w:rsidR="00196446">
              <w:rPr>
                <w:rFonts w:ascii="HelveticaNeueLT Std" w:hAnsi="HelveticaNeueLT Std" w:cs="Arial"/>
                <w:b/>
                <w:bCs/>
                <w:sz w:val="20"/>
                <w:szCs w:val="20"/>
              </w:rPr>
              <w:t>9</w:t>
            </w:r>
          </w:p>
        </w:tc>
        <w:tc>
          <w:tcPr>
            <w:tcW w:w="2127" w:type="dxa"/>
            <w:tcBorders>
              <w:top w:val="single" w:sz="4" w:space="0" w:color="auto"/>
              <w:bottom w:val="single" w:sz="4" w:space="0" w:color="auto"/>
            </w:tcBorders>
          </w:tcPr>
          <w:p w14:paraId="31CEDAAF"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3F582DC" w14:textId="114B7AC5" w:rsidR="009A45CF" w:rsidRPr="00B80921" w:rsidRDefault="00E943C3"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0</w:t>
            </w:r>
            <w:r w:rsidR="00196446">
              <w:rPr>
                <w:rFonts w:ascii="HelveticaNeueLT Std" w:eastAsia="MS Mincho" w:hAnsi="HelveticaNeueLT Std"/>
                <w:bCs/>
                <w:sz w:val="20"/>
                <w:szCs w:val="20"/>
                <w:lang w:eastAsia="en-US"/>
              </w:rPr>
              <w:t>9</w:t>
            </w:r>
            <w:r>
              <w:rPr>
                <w:rFonts w:ascii="HelveticaNeueLT Std" w:eastAsia="MS Mincho" w:hAnsi="HelveticaNeueLT Std"/>
                <w:bCs/>
                <w:sz w:val="20"/>
                <w:szCs w:val="20"/>
                <w:lang w:eastAsia="en-US"/>
              </w:rPr>
              <w:t>-</w:t>
            </w:r>
            <w:r w:rsidR="00E02BAF">
              <w:rPr>
                <w:rFonts w:ascii="HelveticaNeueLT Std" w:eastAsia="MS Mincho" w:hAnsi="HelveticaNeueLT Std"/>
                <w:bCs/>
                <w:sz w:val="20"/>
                <w:szCs w:val="20"/>
                <w:lang w:eastAsia="en-US"/>
              </w:rPr>
              <w:t>junio</w:t>
            </w:r>
            <w:r w:rsidR="009A45CF" w:rsidRPr="00B80921">
              <w:rPr>
                <w:rFonts w:ascii="HelveticaNeueLT Std" w:eastAsia="MS Mincho" w:hAnsi="HelveticaNeueLT Std"/>
                <w:bCs/>
                <w:sz w:val="20"/>
                <w:szCs w:val="20"/>
                <w:lang w:eastAsia="en-US"/>
              </w:rPr>
              <w:t>-20</w:t>
            </w:r>
            <w:r w:rsidR="004161E3" w:rsidRPr="00B80921">
              <w:rPr>
                <w:rFonts w:ascii="HelveticaNeueLT Std" w:eastAsia="MS Mincho" w:hAnsi="HelveticaNeueLT Std"/>
                <w:bCs/>
                <w:sz w:val="20"/>
                <w:szCs w:val="20"/>
                <w:lang w:eastAsia="en-US"/>
              </w:rPr>
              <w:t>2</w:t>
            </w:r>
            <w:r w:rsidR="00E342D1">
              <w:rPr>
                <w:rFonts w:ascii="HelveticaNeueLT Std" w:eastAsia="MS Mincho" w:hAnsi="HelveticaNeueLT Std"/>
                <w:bCs/>
                <w:sz w:val="20"/>
                <w:szCs w:val="20"/>
                <w:lang w:eastAsia="en-US"/>
              </w:rPr>
              <w:t>2</w:t>
            </w:r>
          </w:p>
          <w:p w14:paraId="2E9B572A" w14:textId="77777777"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098518" w14:textId="418ED8B6" w:rsidR="006E7C9C" w:rsidRPr="00B80921" w:rsidRDefault="006A43F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r w:rsidR="006E7C9C" w:rsidRPr="00B80921">
              <w:rPr>
                <w:rFonts w:ascii="HelveticaNeueLT Std" w:eastAsia="MS Mincho" w:hAnsi="HelveticaNeueLT Std"/>
                <w:bCs/>
                <w:sz w:val="20"/>
                <w:szCs w:val="20"/>
                <w:lang w:eastAsia="en-US"/>
              </w:rPr>
              <w:t xml:space="preserve"> </w:t>
            </w:r>
          </w:p>
          <w:p w14:paraId="65B382DA" w14:textId="4A657A16"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bottom w:val="single" w:sz="4" w:space="0" w:color="auto"/>
            </w:tcBorders>
          </w:tcPr>
          <w:p w14:paraId="3BFA9683"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8DA2AA7"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1521B3C"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AFE15A" w14:textId="4A5612F6" w:rsidR="009A45CF" w:rsidRPr="00B80921" w:rsidRDefault="003B79F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00B80921" w:rsidRPr="00B80921">
              <w:rPr>
                <w:rFonts w:ascii="HelveticaNeueLT Std" w:eastAsia="MS Mincho" w:hAnsi="HelveticaNeueLT Std"/>
                <w:bCs/>
                <w:sz w:val="20"/>
                <w:szCs w:val="20"/>
                <w:lang w:eastAsia="en-US"/>
              </w:rPr>
              <w:t xml:space="preserve"> </w:t>
            </w:r>
            <w:r w:rsidR="009A45CF" w:rsidRPr="00B80921">
              <w:rPr>
                <w:rFonts w:ascii="HelveticaNeueLT Std" w:eastAsia="MS Mincho" w:hAnsi="HelveticaNeueLT Std"/>
                <w:bCs/>
                <w:sz w:val="20"/>
                <w:szCs w:val="20"/>
                <w:lang w:eastAsia="en-US"/>
              </w:rPr>
              <w:t xml:space="preserve"> </w:t>
            </w:r>
          </w:p>
        </w:tc>
        <w:tc>
          <w:tcPr>
            <w:tcW w:w="2977" w:type="dxa"/>
            <w:tcBorders>
              <w:top w:val="single" w:sz="4" w:space="0" w:color="auto"/>
              <w:bottom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640434" w14:paraId="0FE0120A" w14:textId="77777777" w:rsidTr="00640434">
              <w:trPr>
                <w:trHeight w:val="1075"/>
                <w:tblCellSpacing w:w="0" w:type="dxa"/>
              </w:trPr>
              <w:tc>
                <w:tcPr>
                  <w:tcW w:w="8832"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97"/>
                    <w:gridCol w:w="20"/>
                  </w:tblGrid>
                  <w:tr w:rsidR="00196446" w14:paraId="089E96D2" w14:textId="77777777" w:rsidTr="00196446">
                    <w:trPr>
                      <w:tblCellSpacing w:w="0" w:type="dxa"/>
                    </w:trPr>
                    <w:tc>
                      <w:tcPr>
                        <w:tcW w:w="8832" w:type="dxa"/>
                        <w:shd w:val="clear" w:color="auto" w:fill="FFFFFF"/>
                        <w:vAlign w:val="center"/>
                        <w:hideMark/>
                      </w:tcPr>
                      <w:p w14:paraId="49DA9DBA" w14:textId="77777777" w:rsidR="00196446" w:rsidRDefault="00196446" w:rsidP="00196446">
                        <w:pPr>
                          <w:jc w:val="both"/>
                          <w:rPr>
                            <w:rFonts w:ascii="Arial" w:hAnsi="Arial" w:cs="Arial"/>
                            <w:color w:val="2F2F2F"/>
                            <w:sz w:val="22"/>
                            <w:szCs w:val="22"/>
                            <w:lang w:eastAsia="es-MX"/>
                          </w:rPr>
                        </w:pPr>
                        <w:hyperlink r:id="rId8" w:history="1">
                          <w:r w:rsidRPr="00196446">
                            <w:rPr>
                              <w:rFonts w:ascii="HelveticaNeueLT Std" w:hAnsi="HelveticaNeueLT Std"/>
                              <w:b/>
                              <w:bCs/>
                              <w:sz w:val="20"/>
                              <w:szCs w:val="20"/>
                            </w:rPr>
                            <w:t>Cuarta Resolución de Modificaciones a la Resolución Miscelánea Fiscal para 2022 y sus anexos 1-A, 9, 15 y 23.</w:t>
                          </w:r>
                        </w:hyperlink>
                      </w:p>
                    </w:tc>
                    <w:tc>
                      <w:tcPr>
                        <w:tcW w:w="6" w:type="dxa"/>
                        <w:shd w:val="clear" w:color="auto" w:fill="FFFFFF"/>
                        <w:vAlign w:val="center"/>
                        <w:hideMark/>
                      </w:tcPr>
                      <w:p w14:paraId="62E1B9B7" w14:textId="77777777" w:rsidR="00196446" w:rsidRDefault="00196446" w:rsidP="00196446">
                        <w:pPr>
                          <w:rPr>
                            <w:rFonts w:ascii="Arial" w:hAnsi="Arial" w:cs="Arial"/>
                            <w:color w:val="2F2F2F"/>
                            <w:sz w:val="22"/>
                            <w:szCs w:val="22"/>
                          </w:rPr>
                        </w:pPr>
                      </w:p>
                    </w:tc>
                  </w:tr>
                  <w:tr w:rsidR="00196446" w14:paraId="089AAE9F" w14:textId="77777777" w:rsidTr="00196446">
                    <w:trPr>
                      <w:trHeight w:val="180"/>
                      <w:tblCellSpacing w:w="0" w:type="dxa"/>
                    </w:trPr>
                    <w:tc>
                      <w:tcPr>
                        <w:tcW w:w="8832" w:type="dxa"/>
                        <w:shd w:val="clear" w:color="auto" w:fill="FFFFFF"/>
                        <w:hideMark/>
                      </w:tcPr>
                      <w:p w14:paraId="470CBB00" w14:textId="4C72F2CC" w:rsidR="00196446" w:rsidRDefault="00196446" w:rsidP="00196446">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3A64D8B6" wp14:editId="5D777FE9">
                              <wp:extent cx="95250" cy="11430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4E6EB821" w14:textId="77777777" w:rsidR="00196446" w:rsidRDefault="00196446" w:rsidP="00196446">
                        <w:pPr>
                          <w:rPr>
                            <w:sz w:val="20"/>
                            <w:szCs w:val="20"/>
                          </w:rPr>
                        </w:pPr>
                      </w:p>
                    </w:tc>
                  </w:tr>
                </w:tbl>
                <w:p w14:paraId="0931BDD5" w14:textId="51B57C0D" w:rsidR="00640434" w:rsidRDefault="00640434" w:rsidP="00640434">
                  <w:pPr>
                    <w:jc w:val="both"/>
                    <w:rPr>
                      <w:rFonts w:ascii="Arial" w:hAnsi="Arial" w:cs="Arial"/>
                      <w:color w:val="2F2F2F"/>
                      <w:sz w:val="22"/>
                      <w:szCs w:val="22"/>
                      <w:lang w:eastAsia="es-MX"/>
                    </w:rPr>
                  </w:pPr>
                </w:p>
              </w:tc>
              <w:tc>
                <w:tcPr>
                  <w:tcW w:w="6" w:type="dxa"/>
                  <w:shd w:val="clear" w:color="auto" w:fill="FFFFFF"/>
                  <w:vAlign w:val="center"/>
                  <w:hideMark/>
                </w:tcPr>
                <w:p w14:paraId="544C5830" w14:textId="77777777" w:rsidR="00640434" w:rsidRDefault="00640434" w:rsidP="00640434">
                  <w:pPr>
                    <w:rPr>
                      <w:rFonts w:ascii="Arial" w:hAnsi="Arial" w:cs="Arial"/>
                      <w:color w:val="2F2F2F"/>
                      <w:sz w:val="22"/>
                      <w:szCs w:val="22"/>
                    </w:rPr>
                  </w:pPr>
                </w:p>
              </w:tc>
            </w:tr>
            <w:tr w:rsidR="00640434" w14:paraId="395B7BEF" w14:textId="77777777" w:rsidTr="00640434">
              <w:trPr>
                <w:trHeight w:val="180"/>
                <w:tblCellSpacing w:w="0" w:type="dxa"/>
              </w:trPr>
              <w:tc>
                <w:tcPr>
                  <w:tcW w:w="8832" w:type="dxa"/>
                  <w:shd w:val="clear" w:color="auto" w:fill="FFFFFF"/>
                  <w:hideMark/>
                </w:tcPr>
                <w:p w14:paraId="2220D2FD" w14:textId="68DC923F" w:rsidR="00640434" w:rsidRDefault="00640434" w:rsidP="00640434">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150F5B64" wp14:editId="0DE36D16">
                        <wp:extent cx="95250" cy="11112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1125"/>
                                </a:xfrm>
                                <a:prstGeom prst="rect">
                                  <a:avLst/>
                                </a:prstGeom>
                                <a:noFill/>
                                <a:ln>
                                  <a:noFill/>
                                </a:ln>
                              </pic:spPr>
                            </pic:pic>
                          </a:graphicData>
                        </a:graphic>
                      </wp:inline>
                    </w:drawing>
                  </w:r>
                </w:p>
              </w:tc>
              <w:tc>
                <w:tcPr>
                  <w:tcW w:w="6" w:type="dxa"/>
                  <w:shd w:val="clear" w:color="auto" w:fill="FFFFFF"/>
                  <w:vAlign w:val="center"/>
                  <w:hideMark/>
                </w:tcPr>
                <w:p w14:paraId="604B0714" w14:textId="77777777" w:rsidR="00640434" w:rsidRDefault="00640434" w:rsidP="00640434">
                  <w:pPr>
                    <w:rPr>
                      <w:sz w:val="20"/>
                      <w:szCs w:val="20"/>
                    </w:rPr>
                  </w:pPr>
                </w:p>
              </w:tc>
            </w:tr>
          </w:tbl>
          <w:p w14:paraId="206512B6" w14:textId="0B1B455C" w:rsidR="009A45CF" w:rsidRPr="00DD7C82" w:rsidRDefault="009A45CF" w:rsidP="00DD7C82">
            <w:pPr>
              <w:spacing w:line="276" w:lineRule="auto"/>
              <w:jc w:val="both"/>
              <w:rPr>
                <w:rFonts w:ascii="HelveticaNeueLT Std" w:hAnsi="HelveticaNeueLT Std" w:cs="Arial"/>
                <w:b/>
                <w:bCs/>
                <w:sz w:val="20"/>
                <w:szCs w:val="20"/>
              </w:rPr>
            </w:pPr>
          </w:p>
        </w:tc>
        <w:tc>
          <w:tcPr>
            <w:tcW w:w="5812" w:type="dxa"/>
            <w:tcBorders>
              <w:bottom w:val="single" w:sz="4" w:space="0" w:color="auto"/>
            </w:tcBorders>
          </w:tcPr>
          <w:p w14:paraId="7BB603BE" w14:textId="77777777" w:rsidR="009F2391" w:rsidRDefault="009F2391" w:rsidP="00EB4A8D">
            <w:pPr>
              <w:jc w:val="both"/>
              <w:rPr>
                <w:rFonts w:ascii="HelveticaNeueLT Std Lt" w:eastAsia="Times New Roman" w:hAnsi="HelveticaNeueLT Std Lt" w:cs="Arial"/>
                <w:sz w:val="20"/>
                <w:szCs w:val="20"/>
                <w:lang w:eastAsia="es-MX"/>
              </w:rPr>
            </w:pPr>
            <w:r w:rsidRPr="00EB4A8D">
              <w:rPr>
                <w:rFonts w:ascii="HelveticaNeueLT Std Lt" w:eastAsia="Times New Roman" w:hAnsi="HelveticaNeueLT Std Lt" w:cs="Arial"/>
                <w:sz w:val="20"/>
                <w:szCs w:val="20"/>
                <w:lang w:eastAsia="es-MX"/>
              </w:rPr>
              <w:t xml:space="preserve"> </w:t>
            </w:r>
          </w:p>
          <w:p w14:paraId="62F6A7D3" w14:textId="77777777" w:rsidR="00196446" w:rsidRDefault="00196446" w:rsidP="00EB4A8D">
            <w:pPr>
              <w:jc w:val="both"/>
              <w:rPr>
                <w:rFonts w:ascii="HelveticaNeueLT Std" w:hAnsi="HelveticaNeueLT Std" w:cs="Arial"/>
                <w:color w:val="2F2F2F"/>
                <w:sz w:val="18"/>
                <w:szCs w:val="18"/>
                <w:shd w:val="clear" w:color="auto" w:fill="FFFFFF"/>
              </w:rPr>
            </w:pPr>
            <w:r w:rsidRPr="00196446">
              <w:rPr>
                <w:rFonts w:ascii="HelveticaNeueLT Std" w:hAnsi="HelveticaNeueLT Std" w:cs="Arial"/>
                <w:color w:val="2F2F2F"/>
                <w:sz w:val="18"/>
                <w:szCs w:val="18"/>
                <w:shd w:val="clear" w:color="auto" w:fill="FFFFFF"/>
              </w:rPr>
              <w:t>Se </w:t>
            </w:r>
            <w:r w:rsidRPr="00196446">
              <w:rPr>
                <w:rFonts w:ascii="HelveticaNeueLT Std" w:hAnsi="HelveticaNeueLT Std" w:cs="Arial"/>
                <w:b/>
                <w:bCs/>
                <w:color w:val="2F2F2F"/>
                <w:sz w:val="18"/>
                <w:szCs w:val="18"/>
                <w:shd w:val="clear" w:color="auto" w:fill="FFFFFF"/>
              </w:rPr>
              <w:t>reforman</w:t>
            </w:r>
            <w:r w:rsidRPr="00196446">
              <w:rPr>
                <w:rFonts w:ascii="HelveticaNeueLT Std" w:hAnsi="HelveticaNeueLT Std" w:cs="Arial"/>
                <w:color w:val="2F2F2F"/>
                <w:sz w:val="18"/>
                <w:szCs w:val="18"/>
                <w:shd w:val="clear" w:color="auto" w:fill="FFFFFF"/>
              </w:rPr>
              <w:t> las reglas 2.4.15., primer párrafo; 2.7.2.1., párrafos primero, segundo, numerales 7 y 12, y quinto; 2.7.2.4., segundo párrafo; 2.7.2.6., segundo párrafo; 2.7.4.2., </w:t>
            </w:r>
            <w:proofErr w:type="gramStart"/>
            <w:r w:rsidRPr="00196446">
              <w:rPr>
                <w:rFonts w:ascii="HelveticaNeueLT Std" w:hAnsi="HelveticaNeueLT Std" w:cs="Arial"/>
                <w:color w:val="2F2F2F"/>
                <w:sz w:val="18"/>
                <w:szCs w:val="18"/>
                <w:shd w:val="clear" w:color="auto" w:fill="FFFFFF"/>
              </w:rPr>
              <w:t>párrafos segundo</w:t>
            </w:r>
            <w:proofErr w:type="gramEnd"/>
            <w:r w:rsidRPr="00196446">
              <w:rPr>
                <w:rFonts w:ascii="HelveticaNeueLT Std" w:hAnsi="HelveticaNeueLT Std" w:cs="Arial"/>
                <w:color w:val="2F2F2F"/>
                <w:sz w:val="18"/>
                <w:szCs w:val="18"/>
                <w:shd w:val="clear" w:color="auto" w:fill="FFFFFF"/>
              </w:rPr>
              <w:t>, incisos q) y t) y quinto y se </w:t>
            </w:r>
            <w:r w:rsidRPr="00196446">
              <w:rPr>
                <w:rFonts w:ascii="HelveticaNeueLT Std" w:hAnsi="HelveticaNeueLT Std" w:cs="Arial"/>
                <w:b/>
                <w:bCs/>
                <w:color w:val="2F2F2F"/>
                <w:sz w:val="18"/>
                <w:szCs w:val="18"/>
                <w:shd w:val="clear" w:color="auto" w:fill="FFFFFF"/>
              </w:rPr>
              <w:t>adicionan </w:t>
            </w:r>
            <w:r w:rsidRPr="00196446">
              <w:rPr>
                <w:rFonts w:ascii="HelveticaNeueLT Std" w:hAnsi="HelveticaNeueLT Std" w:cs="Arial"/>
                <w:color w:val="2F2F2F"/>
                <w:sz w:val="18"/>
                <w:szCs w:val="18"/>
                <w:shd w:val="clear" w:color="auto" w:fill="FFFFFF"/>
              </w:rPr>
              <w:t>las reglas 2.2.23.; 2.7.2.1., segundo párrafo, numeral 16; 2.7.4.2., segundo párrafo, inciso u); 2.10.28.; 2.16.5. y 13.1., fracción V, de la Resolución Miscelánea Fiscal para 2022</w:t>
            </w:r>
            <w:r>
              <w:rPr>
                <w:rFonts w:ascii="HelveticaNeueLT Std" w:hAnsi="HelveticaNeueLT Std" w:cs="Arial"/>
                <w:color w:val="2F2F2F"/>
                <w:sz w:val="18"/>
                <w:szCs w:val="18"/>
                <w:shd w:val="clear" w:color="auto" w:fill="FFFFFF"/>
              </w:rPr>
              <w:t xml:space="preserve">, en los siguientes aspectos: </w:t>
            </w:r>
          </w:p>
          <w:p w14:paraId="01E23FD9" w14:textId="77777777" w:rsidR="00196446" w:rsidRDefault="00196446" w:rsidP="00EB4A8D">
            <w:pPr>
              <w:jc w:val="both"/>
              <w:rPr>
                <w:rFonts w:ascii="HelveticaNeueLT Std" w:hAnsi="HelveticaNeueLT Std" w:cs="Arial"/>
                <w:color w:val="2F2F2F"/>
                <w:sz w:val="18"/>
                <w:szCs w:val="18"/>
                <w:shd w:val="clear" w:color="auto" w:fill="FFFFFF"/>
              </w:rPr>
            </w:pPr>
          </w:p>
          <w:p w14:paraId="434F66CB" w14:textId="77777777" w:rsidR="00196446" w:rsidRPr="00196446" w:rsidRDefault="00196446" w:rsidP="00196446">
            <w:pPr>
              <w:pStyle w:val="Prrafodelista"/>
              <w:numPr>
                <w:ilvl w:val="0"/>
                <w:numId w:val="15"/>
              </w:numPr>
              <w:spacing w:line="276" w:lineRule="auto"/>
              <w:jc w:val="both"/>
              <w:rPr>
                <w:rFonts w:ascii="HelveticaNeueLT Std" w:hAnsi="HelveticaNeueLT Std" w:cs="Arial"/>
                <w:b/>
                <w:bCs/>
                <w:color w:val="2F2F2F"/>
                <w:sz w:val="18"/>
                <w:szCs w:val="18"/>
                <w:shd w:val="clear" w:color="auto" w:fill="FFFFFF"/>
              </w:rPr>
            </w:pPr>
            <w:r w:rsidRPr="00196446">
              <w:rPr>
                <w:rFonts w:ascii="HelveticaNeueLT Std" w:hAnsi="HelveticaNeueLT Std" w:cs="Arial"/>
                <w:b/>
                <w:bCs/>
                <w:color w:val="2F2F2F"/>
                <w:sz w:val="18"/>
                <w:szCs w:val="18"/>
                <w:shd w:val="clear" w:color="auto" w:fill="FFFFFF"/>
              </w:rPr>
              <w:t>Informe de fedatarios públicos en materia de firma electrónica avanzada</w:t>
            </w:r>
          </w:p>
          <w:p w14:paraId="58274F63" w14:textId="77777777" w:rsidR="00196446" w:rsidRPr="00196446" w:rsidRDefault="00196446" w:rsidP="00196446">
            <w:pPr>
              <w:pStyle w:val="Prrafodelista"/>
              <w:numPr>
                <w:ilvl w:val="0"/>
                <w:numId w:val="15"/>
              </w:numPr>
              <w:spacing w:line="276" w:lineRule="auto"/>
              <w:jc w:val="both"/>
              <w:rPr>
                <w:rFonts w:ascii="HelveticaNeueLT Std" w:hAnsi="HelveticaNeueLT Std" w:cs="Arial"/>
                <w:b/>
                <w:bCs/>
                <w:color w:val="2F2F2F"/>
                <w:sz w:val="18"/>
                <w:szCs w:val="18"/>
                <w:shd w:val="clear" w:color="auto" w:fill="FFFFFF"/>
              </w:rPr>
            </w:pPr>
            <w:r w:rsidRPr="00196446">
              <w:rPr>
                <w:rFonts w:ascii="HelveticaNeueLT Std" w:hAnsi="HelveticaNeueLT Std" w:cs="Arial"/>
                <w:b/>
                <w:bCs/>
                <w:color w:val="2F2F2F"/>
                <w:sz w:val="18"/>
                <w:szCs w:val="18"/>
                <w:shd w:val="clear" w:color="auto" w:fill="FFFFFF"/>
              </w:rPr>
              <w:t>Modificación o incorporación de información de socios o accionistas</w:t>
            </w:r>
          </w:p>
          <w:p w14:paraId="771D7A67" w14:textId="77777777" w:rsidR="00196446" w:rsidRPr="00196446" w:rsidRDefault="00196446" w:rsidP="00196446">
            <w:pPr>
              <w:pStyle w:val="Prrafodelista"/>
              <w:numPr>
                <w:ilvl w:val="0"/>
                <w:numId w:val="15"/>
              </w:numPr>
              <w:spacing w:line="276" w:lineRule="auto"/>
              <w:jc w:val="both"/>
              <w:rPr>
                <w:rFonts w:ascii="HelveticaNeueLT Std" w:hAnsi="HelveticaNeueLT Std" w:cs="Arial"/>
                <w:b/>
                <w:bCs/>
                <w:color w:val="2F2F2F"/>
                <w:sz w:val="18"/>
                <w:szCs w:val="18"/>
                <w:shd w:val="clear" w:color="auto" w:fill="FFFFFF"/>
              </w:rPr>
            </w:pPr>
            <w:r w:rsidRPr="00196446">
              <w:rPr>
                <w:rFonts w:ascii="HelveticaNeueLT Std" w:hAnsi="HelveticaNeueLT Std" w:cs="Arial"/>
                <w:b/>
                <w:bCs/>
                <w:color w:val="2F2F2F"/>
                <w:sz w:val="18"/>
                <w:szCs w:val="18"/>
                <w:shd w:val="clear" w:color="auto" w:fill="FFFFFF"/>
              </w:rPr>
              <w:t xml:space="preserve">Requisitos para obtener la autorización para operar como proveedor de certificación de </w:t>
            </w:r>
            <w:proofErr w:type="spellStart"/>
            <w:r w:rsidRPr="00196446">
              <w:rPr>
                <w:rFonts w:ascii="HelveticaNeueLT Std" w:hAnsi="HelveticaNeueLT Std" w:cs="Arial"/>
                <w:b/>
                <w:bCs/>
                <w:color w:val="2F2F2F"/>
                <w:sz w:val="18"/>
                <w:szCs w:val="18"/>
                <w:shd w:val="clear" w:color="auto" w:fill="FFFFFF"/>
              </w:rPr>
              <w:t>CFDI</w:t>
            </w:r>
            <w:proofErr w:type="spellEnd"/>
          </w:p>
          <w:p w14:paraId="40EDC1C5" w14:textId="77777777" w:rsidR="00196446" w:rsidRPr="00196446" w:rsidRDefault="00196446" w:rsidP="00196446">
            <w:pPr>
              <w:pStyle w:val="Prrafodelista"/>
              <w:numPr>
                <w:ilvl w:val="0"/>
                <w:numId w:val="15"/>
              </w:numPr>
              <w:spacing w:line="276" w:lineRule="auto"/>
              <w:jc w:val="both"/>
              <w:rPr>
                <w:rFonts w:ascii="HelveticaNeueLT Std" w:hAnsi="HelveticaNeueLT Std" w:cs="Arial"/>
                <w:b/>
                <w:bCs/>
                <w:color w:val="2F2F2F"/>
                <w:sz w:val="18"/>
                <w:szCs w:val="18"/>
                <w:shd w:val="clear" w:color="auto" w:fill="FFFFFF"/>
              </w:rPr>
            </w:pPr>
            <w:r w:rsidRPr="00196446">
              <w:rPr>
                <w:rFonts w:ascii="HelveticaNeueLT Std" w:hAnsi="HelveticaNeueLT Std" w:cs="Arial"/>
                <w:b/>
                <w:bCs/>
                <w:color w:val="2F2F2F"/>
                <w:sz w:val="18"/>
                <w:szCs w:val="18"/>
                <w:shd w:val="clear" w:color="auto" w:fill="FFFFFF"/>
              </w:rPr>
              <w:t xml:space="preserve">Requisitos para que los proveedores de certificación de </w:t>
            </w:r>
            <w:proofErr w:type="spellStart"/>
            <w:r w:rsidRPr="00196446">
              <w:rPr>
                <w:rFonts w:ascii="HelveticaNeueLT Std" w:hAnsi="HelveticaNeueLT Std" w:cs="Arial"/>
                <w:b/>
                <w:bCs/>
                <w:color w:val="2F2F2F"/>
                <w:sz w:val="18"/>
                <w:szCs w:val="18"/>
                <w:shd w:val="clear" w:color="auto" w:fill="FFFFFF"/>
              </w:rPr>
              <w:t>CFDI</w:t>
            </w:r>
            <w:proofErr w:type="spellEnd"/>
            <w:r w:rsidRPr="00196446">
              <w:rPr>
                <w:rFonts w:ascii="HelveticaNeueLT Std" w:hAnsi="HelveticaNeueLT Std" w:cs="Arial"/>
                <w:b/>
                <w:bCs/>
                <w:color w:val="2F2F2F"/>
                <w:sz w:val="18"/>
                <w:szCs w:val="18"/>
                <w:shd w:val="clear" w:color="auto" w:fill="FFFFFF"/>
              </w:rPr>
              <w:t xml:space="preserve"> renueven la vigencia de la autorización</w:t>
            </w:r>
          </w:p>
          <w:p w14:paraId="7C2F823F" w14:textId="77777777" w:rsidR="00196446" w:rsidRPr="00196446" w:rsidRDefault="00196446" w:rsidP="00196446">
            <w:pPr>
              <w:pStyle w:val="Prrafodelista"/>
              <w:numPr>
                <w:ilvl w:val="0"/>
                <w:numId w:val="15"/>
              </w:numPr>
              <w:spacing w:line="276" w:lineRule="auto"/>
              <w:jc w:val="both"/>
              <w:rPr>
                <w:rFonts w:ascii="HelveticaNeueLT Std" w:hAnsi="HelveticaNeueLT Std" w:cs="Arial"/>
                <w:b/>
                <w:bCs/>
                <w:color w:val="2F2F2F"/>
                <w:sz w:val="18"/>
                <w:szCs w:val="18"/>
                <w:shd w:val="clear" w:color="auto" w:fill="FFFFFF"/>
              </w:rPr>
            </w:pPr>
            <w:r w:rsidRPr="00196446">
              <w:rPr>
                <w:rFonts w:ascii="HelveticaNeueLT Std" w:hAnsi="HelveticaNeueLT Std" w:cs="Arial"/>
                <w:b/>
                <w:bCs/>
                <w:color w:val="2F2F2F"/>
                <w:sz w:val="18"/>
                <w:szCs w:val="18"/>
                <w:shd w:val="clear" w:color="auto" w:fill="FFFFFF"/>
              </w:rPr>
              <w:t xml:space="preserve">De la garantía para obtener autorización para operar como proveedor de certificación de </w:t>
            </w:r>
            <w:proofErr w:type="spellStart"/>
            <w:r w:rsidRPr="00196446">
              <w:rPr>
                <w:rFonts w:ascii="HelveticaNeueLT Std" w:hAnsi="HelveticaNeueLT Std" w:cs="Arial"/>
                <w:b/>
                <w:bCs/>
                <w:color w:val="2F2F2F"/>
                <w:sz w:val="18"/>
                <w:szCs w:val="18"/>
                <w:shd w:val="clear" w:color="auto" w:fill="FFFFFF"/>
              </w:rPr>
              <w:t>CFDI</w:t>
            </w:r>
            <w:proofErr w:type="spellEnd"/>
          </w:p>
          <w:p w14:paraId="45A4A95E" w14:textId="77777777" w:rsidR="00196446" w:rsidRPr="00196446" w:rsidRDefault="00196446" w:rsidP="00196446">
            <w:pPr>
              <w:pStyle w:val="Prrafodelista"/>
              <w:numPr>
                <w:ilvl w:val="0"/>
                <w:numId w:val="15"/>
              </w:numPr>
              <w:spacing w:line="276" w:lineRule="auto"/>
              <w:jc w:val="both"/>
              <w:rPr>
                <w:rFonts w:ascii="HelveticaNeueLT Std" w:hAnsi="HelveticaNeueLT Std" w:cs="Arial"/>
                <w:b/>
                <w:bCs/>
                <w:color w:val="2F2F2F"/>
                <w:sz w:val="18"/>
                <w:szCs w:val="18"/>
                <w:shd w:val="clear" w:color="auto" w:fill="FFFFFF"/>
              </w:rPr>
            </w:pPr>
            <w:r w:rsidRPr="00196446">
              <w:rPr>
                <w:rFonts w:ascii="HelveticaNeueLT Std" w:hAnsi="HelveticaNeueLT Std" w:cs="Arial"/>
                <w:b/>
                <w:bCs/>
                <w:color w:val="2F2F2F"/>
                <w:sz w:val="18"/>
                <w:szCs w:val="18"/>
                <w:shd w:val="clear" w:color="auto" w:fill="FFFFFF"/>
              </w:rPr>
              <w:t xml:space="preserve">De la autorización para operar como proveedor de certificación y generación de </w:t>
            </w:r>
            <w:proofErr w:type="spellStart"/>
            <w:r w:rsidRPr="00196446">
              <w:rPr>
                <w:rFonts w:ascii="HelveticaNeueLT Std" w:hAnsi="HelveticaNeueLT Std" w:cs="Arial"/>
                <w:b/>
                <w:bCs/>
                <w:color w:val="2F2F2F"/>
                <w:sz w:val="18"/>
                <w:szCs w:val="18"/>
                <w:shd w:val="clear" w:color="auto" w:fill="FFFFFF"/>
              </w:rPr>
              <w:t>CFDI</w:t>
            </w:r>
            <w:proofErr w:type="spellEnd"/>
            <w:r w:rsidRPr="00196446">
              <w:rPr>
                <w:rFonts w:ascii="HelveticaNeueLT Std" w:hAnsi="HelveticaNeueLT Std" w:cs="Arial"/>
                <w:b/>
                <w:bCs/>
                <w:color w:val="2F2F2F"/>
                <w:sz w:val="18"/>
                <w:szCs w:val="18"/>
                <w:shd w:val="clear" w:color="auto" w:fill="FFFFFF"/>
              </w:rPr>
              <w:t xml:space="preserve"> para el sector primario</w:t>
            </w:r>
          </w:p>
          <w:p w14:paraId="59024600" w14:textId="77777777" w:rsidR="00196446" w:rsidRPr="00196446" w:rsidRDefault="00196446" w:rsidP="00196446">
            <w:pPr>
              <w:pStyle w:val="Prrafodelista"/>
              <w:numPr>
                <w:ilvl w:val="0"/>
                <w:numId w:val="15"/>
              </w:numPr>
              <w:spacing w:line="276" w:lineRule="auto"/>
              <w:jc w:val="both"/>
              <w:rPr>
                <w:rFonts w:ascii="HelveticaNeueLT Std" w:hAnsi="HelveticaNeueLT Std" w:cs="Arial"/>
                <w:b/>
                <w:bCs/>
                <w:color w:val="2F2F2F"/>
                <w:sz w:val="18"/>
                <w:szCs w:val="18"/>
                <w:shd w:val="clear" w:color="auto" w:fill="FFFFFF"/>
              </w:rPr>
            </w:pPr>
            <w:r w:rsidRPr="00196446">
              <w:rPr>
                <w:rFonts w:ascii="HelveticaNeueLT Std" w:hAnsi="HelveticaNeueLT Std" w:cs="Arial"/>
                <w:b/>
                <w:bCs/>
                <w:color w:val="2F2F2F"/>
                <w:sz w:val="18"/>
                <w:szCs w:val="18"/>
                <w:shd w:val="clear" w:color="auto" w:fill="FFFFFF"/>
              </w:rPr>
              <w:t>Informe proporcionado por el contador público inscrito respecto del incumplimiento a las disposiciones fiscales y aduaneras o de un hecho probablemente constitutivo de delito</w:t>
            </w:r>
          </w:p>
          <w:p w14:paraId="47445972" w14:textId="77777777" w:rsidR="00196446" w:rsidRPr="00196446" w:rsidRDefault="00196446" w:rsidP="00196446">
            <w:pPr>
              <w:pStyle w:val="Prrafodelista"/>
              <w:numPr>
                <w:ilvl w:val="0"/>
                <w:numId w:val="15"/>
              </w:numPr>
              <w:spacing w:line="276" w:lineRule="auto"/>
              <w:jc w:val="both"/>
              <w:rPr>
                <w:rFonts w:ascii="HelveticaNeueLT Std" w:hAnsi="HelveticaNeueLT Std" w:cs="Arial"/>
                <w:b/>
                <w:bCs/>
                <w:color w:val="2F2F2F"/>
                <w:sz w:val="18"/>
                <w:szCs w:val="18"/>
                <w:shd w:val="clear" w:color="auto" w:fill="FFFFFF"/>
              </w:rPr>
            </w:pPr>
            <w:r w:rsidRPr="00196446">
              <w:rPr>
                <w:rFonts w:ascii="HelveticaNeueLT Std" w:hAnsi="HelveticaNeueLT Std" w:cs="Arial"/>
                <w:b/>
                <w:bCs/>
                <w:color w:val="2F2F2F"/>
                <w:sz w:val="18"/>
                <w:szCs w:val="18"/>
                <w:shd w:val="clear" w:color="auto" w:fill="FFFFFF"/>
              </w:rPr>
              <w:t>Contribuyentes obligados a presentar la información sobre su situación fiscal por ser partes relacionadas de los sujetos obligados a dictaminar sus estados financieros</w:t>
            </w:r>
          </w:p>
          <w:p w14:paraId="608BA1DD" w14:textId="4FC13355" w:rsidR="00196446" w:rsidRPr="00196446" w:rsidRDefault="00196446" w:rsidP="00196446">
            <w:pPr>
              <w:pStyle w:val="Prrafodelista"/>
              <w:numPr>
                <w:ilvl w:val="0"/>
                <w:numId w:val="15"/>
              </w:numPr>
              <w:spacing w:line="276" w:lineRule="auto"/>
              <w:jc w:val="both"/>
              <w:rPr>
                <w:sz w:val="20"/>
                <w:lang w:eastAsia="es-MX"/>
              </w:rPr>
            </w:pPr>
            <w:r w:rsidRPr="00196446">
              <w:rPr>
                <w:rFonts w:ascii="HelveticaNeueLT Std" w:hAnsi="HelveticaNeueLT Std" w:cs="Arial"/>
                <w:b/>
                <w:bCs/>
                <w:color w:val="2F2F2F"/>
                <w:sz w:val="18"/>
                <w:szCs w:val="18"/>
                <w:shd w:val="clear" w:color="auto" w:fill="FFFFFF"/>
              </w:rPr>
              <w:t>Declaración de pago de los derechos por la utilidad compartida y de extracción de hidrocarburos</w:t>
            </w:r>
          </w:p>
        </w:tc>
      </w:tr>
      <w:tr w:rsidR="00640434" w:rsidRPr="000D4D13" w14:paraId="3E077FEB" w14:textId="77777777" w:rsidTr="00196446">
        <w:trPr>
          <w:trHeight w:val="277"/>
        </w:trPr>
        <w:tc>
          <w:tcPr>
            <w:tcW w:w="617" w:type="dxa"/>
            <w:tcBorders>
              <w:top w:val="single" w:sz="4" w:space="0" w:color="auto"/>
              <w:bottom w:val="single" w:sz="4" w:space="0" w:color="auto"/>
            </w:tcBorders>
          </w:tcPr>
          <w:p w14:paraId="43BDC3DD" w14:textId="3C389F33" w:rsidR="00640434" w:rsidRPr="000D4D13" w:rsidRDefault="00640434" w:rsidP="00640434">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620FBFE9" w14:textId="1CB3E3D8" w:rsidR="00640434" w:rsidRPr="00B80921" w:rsidRDefault="00640434" w:rsidP="0064043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single" w:sz="4" w:space="0" w:color="auto"/>
              <w:bottom w:val="single" w:sz="4" w:space="0" w:color="auto"/>
            </w:tcBorders>
          </w:tcPr>
          <w:p w14:paraId="11424A8E" w14:textId="5702AD01" w:rsidR="00640434" w:rsidRPr="00B80921" w:rsidRDefault="00640434" w:rsidP="0064043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single" w:sz="4" w:space="0" w:color="auto"/>
            </w:tcBorders>
          </w:tcPr>
          <w:p w14:paraId="3732D532" w14:textId="4AFDCB50" w:rsidR="00640434" w:rsidRDefault="00640434" w:rsidP="00640434"/>
        </w:tc>
        <w:tc>
          <w:tcPr>
            <w:tcW w:w="5812" w:type="dxa"/>
            <w:tcBorders>
              <w:top w:val="single" w:sz="4" w:space="0" w:color="auto"/>
              <w:bottom w:val="single" w:sz="4" w:space="0" w:color="auto"/>
            </w:tcBorders>
          </w:tcPr>
          <w:p w14:paraId="536A410B" w14:textId="1546503F" w:rsidR="00196446" w:rsidRPr="004302D6" w:rsidRDefault="00196446" w:rsidP="004302D6">
            <w:pPr>
              <w:pStyle w:val="Texto"/>
              <w:spacing w:after="92"/>
              <w:ind w:firstLine="0"/>
              <w:rPr>
                <w:rFonts w:ascii="HelveticaNeueLT Std" w:eastAsia="MS Mincho" w:hAnsi="HelveticaNeueLT Std"/>
                <w:color w:val="2F2F2F"/>
                <w:szCs w:val="18"/>
                <w:shd w:val="clear" w:color="auto" w:fill="FFFFFF"/>
                <w:lang w:val="es-MX" w:eastAsia="en-US"/>
              </w:rPr>
            </w:pPr>
            <w:r w:rsidRPr="004302D6">
              <w:rPr>
                <w:rFonts w:ascii="HelveticaNeueLT Std" w:eastAsia="MS Mincho" w:hAnsi="HelveticaNeueLT Std"/>
                <w:color w:val="2F2F2F"/>
                <w:szCs w:val="18"/>
                <w:shd w:val="clear" w:color="auto" w:fill="FFFFFF"/>
                <w:lang w:val="es-MX" w:eastAsia="en-US"/>
              </w:rPr>
              <w:t>De da a conocer el texto actualizado de las reglas a que se refiere el Resolutivo Primero de la presente Resolución.</w:t>
            </w:r>
          </w:p>
          <w:p w14:paraId="2E4E24A1" w14:textId="361064CC" w:rsidR="00196446" w:rsidRPr="004302D6" w:rsidRDefault="00196446" w:rsidP="004302D6">
            <w:pPr>
              <w:pStyle w:val="Texto"/>
              <w:spacing w:after="92"/>
              <w:ind w:firstLine="0"/>
              <w:rPr>
                <w:rFonts w:ascii="HelveticaNeueLT Std" w:eastAsia="MS Mincho" w:hAnsi="HelveticaNeueLT Std"/>
                <w:color w:val="2F2F2F"/>
                <w:szCs w:val="18"/>
                <w:shd w:val="clear" w:color="auto" w:fill="FFFFFF"/>
                <w:lang w:val="es-MX" w:eastAsia="en-US"/>
              </w:rPr>
            </w:pPr>
            <w:r w:rsidRPr="004302D6">
              <w:rPr>
                <w:rFonts w:ascii="HelveticaNeueLT Std" w:eastAsia="MS Mincho" w:hAnsi="HelveticaNeueLT Std"/>
                <w:color w:val="2F2F2F"/>
                <w:szCs w:val="18"/>
                <w:shd w:val="clear" w:color="auto" w:fill="FFFFFF"/>
                <w:lang w:val="es-MX" w:eastAsia="en-US"/>
              </w:rPr>
              <w:t>En caso de discrepancia entre el contenido del Resolutivo Primero y del presente, prevalece el texto del Resolutivo Primero.</w:t>
            </w:r>
          </w:p>
          <w:p w14:paraId="08E18E40" w14:textId="77777777" w:rsidR="004302D6" w:rsidRPr="004302D6" w:rsidRDefault="004302D6" w:rsidP="004302D6">
            <w:pPr>
              <w:spacing w:line="276" w:lineRule="auto"/>
              <w:jc w:val="both"/>
              <w:rPr>
                <w:rFonts w:ascii="HelveticaNeueLT Std" w:hAnsi="HelveticaNeueLT Std" w:cs="Arial"/>
                <w:b/>
                <w:color w:val="2F2F2F"/>
                <w:sz w:val="18"/>
                <w:szCs w:val="18"/>
                <w:shd w:val="clear" w:color="auto" w:fill="FFFFFF"/>
              </w:rPr>
            </w:pPr>
          </w:p>
          <w:p w14:paraId="078515CF" w14:textId="2C1DA8CD" w:rsidR="004302D6" w:rsidRPr="004302D6" w:rsidRDefault="004302D6" w:rsidP="004302D6">
            <w:pPr>
              <w:pStyle w:val="Prrafodelista"/>
              <w:numPr>
                <w:ilvl w:val="0"/>
                <w:numId w:val="16"/>
              </w:numPr>
              <w:spacing w:line="276" w:lineRule="auto"/>
              <w:jc w:val="both"/>
              <w:rPr>
                <w:rFonts w:ascii="HelveticaNeueLT Std" w:hAnsi="HelveticaNeueLT Std" w:cs="Arial"/>
                <w:b/>
                <w:color w:val="2F2F2F"/>
                <w:sz w:val="18"/>
                <w:szCs w:val="18"/>
                <w:shd w:val="clear" w:color="auto" w:fill="FFFFFF"/>
              </w:rPr>
            </w:pPr>
            <w:r w:rsidRPr="004302D6">
              <w:rPr>
                <w:rFonts w:ascii="HelveticaNeueLT Std" w:hAnsi="HelveticaNeueLT Std" w:cs="Arial"/>
                <w:b/>
                <w:color w:val="2F2F2F"/>
                <w:sz w:val="18"/>
                <w:szCs w:val="18"/>
                <w:shd w:val="clear" w:color="auto" w:fill="FFFFFF"/>
              </w:rPr>
              <w:t>Informe de fedatarios públicos en materia de firma electrónica avanzada</w:t>
            </w:r>
          </w:p>
          <w:p w14:paraId="17A25E66" w14:textId="77777777" w:rsidR="004302D6" w:rsidRPr="004302D6" w:rsidRDefault="004302D6" w:rsidP="004302D6">
            <w:pPr>
              <w:pStyle w:val="Prrafodelista"/>
              <w:numPr>
                <w:ilvl w:val="0"/>
                <w:numId w:val="16"/>
              </w:numPr>
              <w:spacing w:line="276" w:lineRule="auto"/>
              <w:jc w:val="both"/>
              <w:rPr>
                <w:rFonts w:ascii="HelveticaNeueLT Std" w:hAnsi="HelveticaNeueLT Std" w:cs="Arial"/>
                <w:b/>
                <w:color w:val="2F2F2F"/>
                <w:sz w:val="18"/>
                <w:szCs w:val="18"/>
                <w:shd w:val="clear" w:color="auto" w:fill="FFFFFF"/>
              </w:rPr>
            </w:pPr>
            <w:r w:rsidRPr="004302D6">
              <w:rPr>
                <w:rFonts w:ascii="HelveticaNeueLT Std" w:hAnsi="HelveticaNeueLT Std" w:cs="Arial"/>
                <w:b/>
                <w:color w:val="2F2F2F"/>
                <w:sz w:val="18"/>
                <w:szCs w:val="18"/>
                <w:shd w:val="clear" w:color="auto" w:fill="FFFFFF"/>
              </w:rPr>
              <w:t>Modificación o incorporación de información de socios o accionistas</w:t>
            </w:r>
          </w:p>
          <w:p w14:paraId="4B0C2B5F" w14:textId="77777777" w:rsidR="004302D6" w:rsidRPr="004302D6" w:rsidRDefault="004302D6" w:rsidP="004302D6">
            <w:pPr>
              <w:pStyle w:val="Prrafodelista"/>
              <w:numPr>
                <w:ilvl w:val="0"/>
                <w:numId w:val="16"/>
              </w:numPr>
              <w:spacing w:line="276" w:lineRule="auto"/>
              <w:jc w:val="both"/>
              <w:rPr>
                <w:rFonts w:ascii="HelveticaNeueLT Std" w:hAnsi="HelveticaNeueLT Std" w:cs="Arial"/>
                <w:b/>
                <w:color w:val="2F2F2F"/>
                <w:sz w:val="18"/>
                <w:szCs w:val="18"/>
                <w:shd w:val="clear" w:color="auto" w:fill="FFFFFF"/>
              </w:rPr>
            </w:pPr>
            <w:r w:rsidRPr="004302D6">
              <w:rPr>
                <w:rFonts w:ascii="HelveticaNeueLT Std" w:hAnsi="HelveticaNeueLT Std" w:cs="Arial"/>
                <w:b/>
                <w:color w:val="2F2F2F"/>
                <w:sz w:val="18"/>
                <w:szCs w:val="18"/>
                <w:shd w:val="clear" w:color="auto" w:fill="FFFFFF"/>
              </w:rPr>
              <w:t xml:space="preserve">Requisitos para obtener la autorización para operar como proveedor de certificación de </w:t>
            </w:r>
            <w:proofErr w:type="spellStart"/>
            <w:r w:rsidRPr="004302D6">
              <w:rPr>
                <w:rFonts w:ascii="HelveticaNeueLT Std" w:hAnsi="HelveticaNeueLT Std" w:cs="Arial"/>
                <w:b/>
                <w:color w:val="2F2F2F"/>
                <w:sz w:val="18"/>
                <w:szCs w:val="18"/>
                <w:shd w:val="clear" w:color="auto" w:fill="FFFFFF"/>
              </w:rPr>
              <w:t>CFDI</w:t>
            </w:r>
            <w:proofErr w:type="spellEnd"/>
          </w:p>
          <w:p w14:paraId="2CE8BDD2" w14:textId="77777777" w:rsidR="004302D6" w:rsidRPr="004302D6" w:rsidRDefault="004302D6" w:rsidP="004302D6">
            <w:pPr>
              <w:pStyle w:val="Prrafodelista"/>
              <w:numPr>
                <w:ilvl w:val="0"/>
                <w:numId w:val="16"/>
              </w:numPr>
              <w:spacing w:line="276" w:lineRule="auto"/>
              <w:jc w:val="both"/>
              <w:rPr>
                <w:rFonts w:ascii="HelveticaNeueLT Std" w:hAnsi="HelveticaNeueLT Std" w:cs="Arial"/>
                <w:b/>
                <w:color w:val="2F2F2F"/>
                <w:sz w:val="18"/>
                <w:szCs w:val="18"/>
                <w:shd w:val="clear" w:color="auto" w:fill="FFFFFF"/>
              </w:rPr>
            </w:pPr>
            <w:r w:rsidRPr="004302D6">
              <w:rPr>
                <w:rFonts w:ascii="HelveticaNeueLT Std" w:hAnsi="HelveticaNeueLT Std" w:cs="Arial"/>
                <w:b/>
                <w:color w:val="2F2F2F"/>
                <w:sz w:val="18"/>
                <w:szCs w:val="18"/>
                <w:shd w:val="clear" w:color="auto" w:fill="FFFFFF"/>
              </w:rPr>
              <w:t xml:space="preserve">Requisitos para que los proveedores de certificación de </w:t>
            </w:r>
            <w:proofErr w:type="spellStart"/>
            <w:r w:rsidRPr="004302D6">
              <w:rPr>
                <w:rFonts w:ascii="HelveticaNeueLT Std" w:hAnsi="HelveticaNeueLT Std" w:cs="Arial"/>
                <w:b/>
                <w:color w:val="2F2F2F"/>
                <w:sz w:val="18"/>
                <w:szCs w:val="18"/>
                <w:shd w:val="clear" w:color="auto" w:fill="FFFFFF"/>
              </w:rPr>
              <w:t>CFDI</w:t>
            </w:r>
            <w:proofErr w:type="spellEnd"/>
            <w:r w:rsidRPr="004302D6">
              <w:rPr>
                <w:rFonts w:ascii="HelveticaNeueLT Std" w:hAnsi="HelveticaNeueLT Std" w:cs="Arial"/>
                <w:b/>
                <w:color w:val="2F2F2F"/>
                <w:sz w:val="18"/>
                <w:szCs w:val="18"/>
                <w:shd w:val="clear" w:color="auto" w:fill="FFFFFF"/>
              </w:rPr>
              <w:t xml:space="preserve"> renueven la vigencia de la autorización</w:t>
            </w:r>
          </w:p>
          <w:p w14:paraId="77C6E0C0" w14:textId="77777777" w:rsidR="004302D6" w:rsidRPr="004302D6" w:rsidRDefault="004302D6" w:rsidP="004302D6">
            <w:pPr>
              <w:pStyle w:val="Prrafodelista"/>
              <w:numPr>
                <w:ilvl w:val="0"/>
                <w:numId w:val="16"/>
              </w:numPr>
              <w:spacing w:line="276" w:lineRule="auto"/>
              <w:jc w:val="both"/>
              <w:rPr>
                <w:rFonts w:ascii="HelveticaNeueLT Std" w:hAnsi="HelveticaNeueLT Std" w:cs="Arial"/>
                <w:b/>
                <w:color w:val="2F2F2F"/>
                <w:sz w:val="18"/>
                <w:szCs w:val="18"/>
                <w:shd w:val="clear" w:color="auto" w:fill="FFFFFF"/>
              </w:rPr>
            </w:pPr>
            <w:r w:rsidRPr="004302D6">
              <w:rPr>
                <w:rFonts w:ascii="HelveticaNeueLT Std" w:hAnsi="HelveticaNeueLT Std" w:cs="Arial"/>
                <w:b/>
                <w:color w:val="2F2F2F"/>
                <w:sz w:val="18"/>
                <w:szCs w:val="18"/>
                <w:shd w:val="clear" w:color="auto" w:fill="FFFFFF"/>
              </w:rPr>
              <w:t xml:space="preserve">De la garantía para obtener autorización para operar como proveedor de certificación de </w:t>
            </w:r>
            <w:proofErr w:type="spellStart"/>
            <w:r w:rsidRPr="004302D6">
              <w:rPr>
                <w:rFonts w:ascii="HelveticaNeueLT Std" w:hAnsi="HelveticaNeueLT Std" w:cs="Arial"/>
                <w:b/>
                <w:color w:val="2F2F2F"/>
                <w:sz w:val="18"/>
                <w:szCs w:val="18"/>
                <w:shd w:val="clear" w:color="auto" w:fill="FFFFFF"/>
              </w:rPr>
              <w:t>CFDI</w:t>
            </w:r>
            <w:proofErr w:type="spellEnd"/>
          </w:p>
          <w:p w14:paraId="23A9202F" w14:textId="77777777" w:rsidR="004302D6" w:rsidRPr="004302D6" w:rsidRDefault="004302D6" w:rsidP="004302D6">
            <w:pPr>
              <w:pStyle w:val="Prrafodelista"/>
              <w:numPr>
                <w:ilvl w:val="0"/>
                <w:numId w:val="16"/>
              </w:numPr>
              <w:spacing w:line="276" w:lineRule="auto"/>
              <w:jc w:val="both"/>
              <w:rPr>
                <w:rFonts w:ascii="HelveticaNeueLT Std" w:hAnsi="HelveticaNeueLT Std" w:cs="Arial"/>
                <w:b/>
                <w:color w:val="2F2F2F"/>
                <w:sz w:val="18"/>
                <w:szCs w:val="18"/>
                <w:shd w:val="clear" w:color="auto" w:fill="FFFFFF"/>
              </w:rPr>
            </w:pPr>
            <w:r w:rsidRPr="004302D6">
              <w:rPr>
                <w:rFonts w:ascii="HelveticaNeueLT Std" w:hAnsi="HelveticaNeueLT Std" w:cs="Arial"/>
                <w:b/>
                <w:color w:val="2F2F2F"/>
                <w:sz w:val="18"/>
                <w:szCs w:val="18"/>
                <w:shd w:val="clear" w:color="auto" w:fill="FFFFFF"/>
              </w:rPr>
              <w:t xml:space="preserve">De la autorización para operar como proveedor de certificación y generación de </w:t>
            </w:r>
            <w:proofErr w:type="spellStart"/>
            <w:r w:rsidRPr="004302D6">
              <w:rPr>
                <w:rFonts w:ascii="HelveticaNeueLT Std" w:hAnsi="HelveticaNeueLT Std" w:cs="Arial"/>
                <w:b/>
                <w:color w:val="2F2F2F"/>
                <w:sz w:val="18"/>
                <w:szCs w:val="18"/>
                <w:shd w:val="clear" w:color="auto" w:fill="FFFFFF"/>
              </w:rPr>
              <w:t>CFDI</w:t>
            </w:r>
            <w:proofErr w:type="spellEnd"/>
            <w:r w:rsidRPr="004302D6">
              <w:rPr>
                <w:rFonts w:ascii="HelveticaNeueLT Std" w:hAnsi="HelveticaNeueLT Std" w:cs="Arial"/>
                <w:b/>
                <w:color w:val="2F2F2F"/>
                <w:sz w:val="18"/>
                <w:szCs w:val="18"/>
                <w:shd w:val="clear" w:color="auto" w:fill="FFFFFF"/>
              </w:rPr>
              <w:t xml:space="preserve"> para el sector primario</w:t>
            </w:r>
          </w:p>
          <w:p w14:paraId="2A447D6C" w14:textId="77777777" w:rsidR="004302D6" w:rsidRPr="004302D6" w:rsidRDefault="004302D6" w:rsidP="004302D6">
            <w:pPr>
              <w:pStyle w:val="Prrafodelista"/>
              <w:numPr>
                <w:ilvl w:val="0"/>
                <w:numId w:val="16"/>
              </w:numPr>
              <w:spacing w:line="276" w:lineRule="auto"/>
              <w:jc w:val="both"/>
              <w:rPr>
                <w:rFonts w:ascii="HelveticaNeueLT Std" w:hAnsi="HelveticaNeueLT Std" w:cs="Arial"/>
                <w:b/>
                <w:color w:val="2F2F2F"/>
                <w:sz w:val="18"/>
                <w:szCs w:val="18"/>
                <w:shd w:val="clear" w:color="auto" w:fill="FFFFFF"/>
              </w:rPr>
            </w:pPr>
            <w:r w:rsidRPr="004302D6">
              <w:rPr>
                <w:rFonts w:ascii="HelveticaNeueLT Std" w:hAnsi="HelveticaNeueLT Std" w:cs="Arial"/>
                <w:b/>
                <w:color w:val="2F2F2F"/>
                <w:sz w:val="18"/>
                <w:szCs w:val="18"/>
                <w:shd w:val="clear" w:color="auto" w:fill="FFFFFF"/>
              </w:rPr>
              <w:t>Informe proporcionado por el contador público inscrito respecto del incumplimiento a las disposiciones fiscales y aduaneras o de un hecho probablemente constitutivo de delito</w:t>
            </w:r>
          </w:p>
          <w:p w14:paraId="208C639D" w14:textId="77777777" w:rsidR="004302D6" w:rsidRPr="004302D6" w:rsidRDefault="004302D6" w:rsidP="004302D6">
            <w:pPr>
              <w:pStyle w:val="Prrafodelista"/>
              <w:numPr>
                <w:ilvl w:val="0"/>
                <w:numId w:val="16"/>
              </w:numPr>
              <w:spacing w:line="276" w:lineRule="auto"/>
              <w:jc w:val="both"/>
              <w:rPr>
                <w:rFonts w:ascii="HelveticaNeueLT Std" w:hAnsi="HelveticaNeueLT Std" w:cs="Arial"/>
                <w:b/>
                <w:color w:val="2F2F2F"/>
                <w:sz w:val="18"/>
                <w:szCs w:val="18"/>
                <w:shd w:val="clear" w:color="auto" w:fill="FFFFFF"/>
              </w:rPr>
            </w:pPr>
            <w:r w:rsidRPr="004302D6">
              <w:rPr>
                <w:rFonts w:ascii="HelveticaNeueLT Std" w:hAnsi="HelveticaNeueLT Std" w:cs="Arial"/>
                <w:b/>
                <w:color w:val="2F2F2F"/>
                <w:sz w:val="18"/>
                <w:szCs w:val="18"/>
                <w:shd w:val="clear" w:color="auto" w:fill="FFFFFF"/>
              </w:rPr>
              <w:t>Contribuyentes obligados a presentar la información sobre su situación fiscal por ser partes relacionadas de los sujetos obligados a dictaminar sus estados financieros</w:t>
            </w:r>
          </w:p>
          <w:p w14:paraId="44D64D89" w14:textId="77777777" w:rsidR="004302D6" w:rsidRPr="004302D6" w:rsidRDefault="004302D6" w:rsidP="004302D6">
            <w:pPr>
              <w:pStyle w:val="Prrafodelista"/>
              <w:numPr>
                <w:ilvl w:val="0"/>
                <w:numId w:val="16"/>
              </w:numPr>
              <w:spacing w:line="276" w:lineRule="auto"/>
              <w:jc w:val="both"/>
              <w:rPr>
                <w:rFonts w:ascii="HelveticaNeueLT Std" w:hAnsi="HelveticaNeueLT Std" w:cs="Arial"/>
                <w:b/>
                <w:color w:val="2F2F2F"/>
                <w:sz w:val="18"/>
                <w:szCs w:val="18"/>
                <w:shd w:val="clear" w:color="auto" w:fill="FFFFFF"/>
              </w:rPr>
            </w:pPr>
            <w:r w:rsidRPr="004302D6">
              <w:rPr>
                <w:rFonts w:ascii="HelveticaNeueLT Std" w:hAnsi="HelveticaNeueLT Std" w:cs="Arial"/>
                <w:b/>
                <w:color w:val="2F2F2F"/>
                <w:sz w:val="18"/>
                <w:szCs w:val="18"/>
                <w:shd w:val="clear" w:color="auto" w:fill="FFFFFF"/>
              </w:rPr>
              <w:t>Declaración de pago de los derechos por la utilidad compartida y de extracción de hidrocarburos</w:t>
            </w:r>
          </w:p>
          <w:p w14:paraId="42ADBFA6" w14:textId="77777777" w:rsidR="00640434" w:rsidRDefault="00640434" w:rsidP="00196446">
            <w:pPr>
              <w:jc w:val="both"/>
              <w:rPr>
                <w:rFonts w:ascii="Arial" w:eastAsia="Times New Roman" w:hAnsi="Arial" w:cs="Arial"/>
                <w:sz w:val="18"/>
                <w:szCs w:val="20"/>
                <w:lang w:val="es-ES" w:eastAsia="es-ES"/>
              </w:rPr>
            </w:pPr>
          </w:p>
          <w:p w14:paraId="27B5524C" w14:textId="77777777" w:rsidR="004302D6" w:rsidRDefault="004302D6" w:rsidP="00196446">
            <w:pPr>
              <w:jc w:val="both"/>
              <w:rPr>
                <w:rFonts w:ascii="HelveticaNeueLT Std" w:hAnsi="HelveticaNeueLT Std" w:cs="Arial"/>
                <w:color w:val="2F2F2F"/>
                <w:sz w:val="18"/>
                <w:szCs w:val="18"/>
                <w:shd w:val="clear" w:color="auto" w:fill="FFFFFF"/>
              </w:rPr>
            </w:pPr>
            <w:r w:rsidRPr="004302D6">
              <w:rPr>
                <w:rFonts w:ascii="HelveticaNeueLT Std" w:hAnsi="HelveticaNeueLT Std" w:cs="Arial"/>
                <w:color w:val="2F2F2F"/>
                <w:sz w:val="18"/>
                <w:szCs w:val="18"/>
                <w:shd w:val="clear" w:color="auto" w:fill="FFFFFF"/>
              </w:rPr>
              <w:t xml:space="preserve">Se da a conocer el Anexo 9, y se modifican los Anexos 1-A y 15 de la Resolución Miscelánea Fiscal para 2022, así como el Anexo 23 de la Resolución Miscelánea </w:t>
            </w:r>
            <w:proofErr w:type="gramStart"/>
            <w:r w:rsidRPr="004302D6">
              <w:rPr>
                <w:rFonts w:ascii="HelveticaNeueLT Std" w:hAnsi="HelveticaNeueLT Std" w:cs="Arial"/>
                <w:color w:val="2F2F2F"/>
                <w:sz w:val="18"/>
                <w:szCs w:val="18"/>
                <w:shd w:val="clear" w:color="auto" w:fill="FFFFFF"/>
              </w:rPr>
              <w:t>Fiscal  para</w:t>
            </w:r>
            <w:proofErr w:type="gramEnd"/>
            <w:r w:rsidRPr="004302D6">
              <w:rPr>
                <w:rFonts w:ascii="HelveticaNeueLT Std" w:hAnsi="HelveticaNeueLT Std" w:cs="Arial"/>
                <w:color w:val="2F2F2F"/>
                <w:sz w:val="18"/>
                <w:szCs w:val="18"/>
                <w:shd w:val="clear" w:color="auto" w:fill="FFFFFF"/>
              </w:rPr>
              <w:t xml:space="preserve"> 2020.</w:t>
            </w:r>
          </w:p>
          <w:p w14:paraId="4B26BE4C" w14:textId="77777777" w:rsidR="004302D6" w:rsidRDefault="004302D6" w:rsidP="00196446">
            <w:pPr>
              <w:jc w:val="both"/>
              <w:rPr>
                <w:rFonts w:ascii="HelveticaNeueLT Std" w:hAnsi="HelveticaNeueLT Std" w:cs="Arial"/>
                <w:color w:val="2F2F2F"/>
                <w:sz w:val="18"/>
                <w:szCs w:val="18"/>
                <w:shd w:val="clear" w:color="auto" w:fill="FFFFFF"/>
              </w:rPr>
            </w:pPr>
          </w:p>
          <w:p w14:paraId="531F3CB4" w14:textId="77777777" w:rsidR="004302D6" w:rsidRPr="004302D6" w:rsidRDefault="004302D6" w:rsidP="004302D6">
            <w:pPr>
              <w:jc w:val="both"/>
              <w:rPr>
                <w:rFonts w:ascii="HelveticaNeueLT Std" w:hAnsi="HelveticaNeueLT Std" w:cs="Arial"/>
                <w:color w:val="2F2F2F"/>
                <w:sz w:val="18"/>
                <w:szCs w:val="18"/>
                <w:shd w:val="clear" w:color="auto" w:fill="FFFFFF"/>
              </w:rPr>
            </w:pPr>
            <w:r w:rsidRPr="004302D6">
              <w:rPr>
                <w:rFonts w:ascii="HelveticaNeueLT Std" w:hAnsi="HelveticaNeueLT Std" w:cs="Arial"/>
                <w:color w:val="2F2F2F"/>
                <w:sz w:val="18"/>
                <w:szCs w:val="18"/>
                <w:shd w:val="clear" w:color="auto" w:fill="FFFFFF"/>
              </w:rPr>
              <w:t>Se reforman los Transitorios Segundo, párrafos primero y tercero, Quinto y Décimo Sexto de la Resolución Miscelánea Fiscal para 2022 y sus modificaciones, para quedar como sigue:</w:t>
            </w:r>
          </w:p>
          <w:p w14:paraId="4212D880" w14:textId="77777777" w:rsidR="004302D6" w:rsidRDefault="004302D6" w:rsidP="00196446">
            <w:pPr>
              <w:jc w:val="both"/>
              <w:rPr>
                <w:rFonts w:ascii="HelveticaNeueLT Std" w:hAnsi="HelveticaNeueLT Std" w:cs="Arial"/>
                <w:color w:val="2F2F2F"/>
                <w:sz w:val="18"/>
                <w:szCs w:val="18"/>
                <w:shd w:val="clear" w:color="auto" w:fill="FFFFFF"/>
              </w:rPr>
            </w:pPr>
          </w:p>
          <w:p w14:paraId="3429AE11" w14:textId="41D922A5" w:rsidR="004302D6" w:rsidRPr="00196446" w:rsidRDefault="004302D6" w:rsidP="00196446">
            <w:pPr>
              <w:jc w:val="both"/>
              <w:rPr>
                <w:rFonts w:ascii="HelveticaNeueLT Std" w:hAnsi="HelveticaNeueLT Std" w:cs="Arial"/>
                <w:color w:val="2F2F2F"/>
                <w:sz w:val="18"/>
                <w:szCs w:val="18"/>
                <w:shd w:val="clear" w:color="auto" w:fill="FFFFFF"/>
              </w:rPr>
            </w:pPr>
          </w:p>
        </w:tc>
      </w:tr>
      <w:tr w:rsidR="00D42D04" w:rsidRPr="000D4D13" w14:paraId="6FC312FF" w14:textId="77777777" w:rsidTr="004302D6">
        <w:trPr>
          <w:trHeight w:val="277"/>
        </w:trPr>
        <w:tc>
          <w:tcPr>
            <w:tcW w:w="617" w:type="dxa"/>
            <w:tcBorders>
              <w:top w:val="single" w:sz="4" w:space="0" w:color="auto"/>
              <w:bottom w:val="single" w:sz="4" w:space="0" w:color="auto"/>
            </w:tcBorders>
          </w:tcPr>
          <w:p w14:paraId="50E9C65B" w14:textId="3944048D" w:rsidR="00D42D04" w:rsidRDefault="00D42D04" w:rsidP="00D42D04">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336B789C" w14:textId="31919669" w:rsidR="00D42D04" w:rsidRPr="00B80921" w:rsidRDefault="00D42D04" w:rsidP="00D42D0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single" w:sz="4" w:space="0" w:color="auto"/>
              <w:bottom w:val="single" w:sz="4" w:space="0" w:color="auto"/>
            </w:tcBorders>
          </w:tcPr>
          <w:p w14:paraId="3CFED38F" w14:textId="6340372D" w:rsidR="00D42D04" w:rsidRPr="00B80921" w:rsidRDefault="00D42D04" w:rsidP="00D42D0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single" w:sz="4" w:space="0" w:color="auto"/>
            </w:tcBorders>
          </w:tcPr>
          <w:p w14:paraId="1706FB74" w14:textId="77777777" w:rsidR="00D42D04" w:rsidRDefault="00D42D04" w:rsidP="00D42D04"/>
        </w:tc>
        <w:tc>
          <w:tcPr>
            <w:tcW w:w="5812" w:type="dxa"/>
            <w:tcBorders>
              <w:top w:val="single" w:sz="4" w:space="0" w:color="auto"/>
              <w:bottom w:val="single" w:sz="4" w:space="0" w:color="auto"/>
            </w:tcBorders>
          </w:tcPr>
          <w:p w14:paraId="1032D97F" w14:textId="77777777" w:rsidR="004302D6" w:rsidRPr="004302D6" w:rsidRDefault="004302D6" w:rsidP="004302D6">
            <w:pPr>
              <w:pStyle w:val="Texto"/>
              <w:ind w:left="1553" w:hanging="992"/>
              <w:rPr>
                <w:rFonts w:ascii="HelveticaNeueLT Std" w:hAnsi="HelveticaNeueLT Std"/>
                <w:szCs w:val="18"/>
              </w:rPr>
            </w:pPr>
            <w:r w:rsidRPr="004302D6">
              <w:rPr>
                <w:rFonts w:ascii="HelveticaNeueLT Std" w:hAnsi="HelveticaNeueLT Std"/>
                <w:b/>
                <w:szCs w:val="18"/>
              </w:rPr>
              <w:t>Segundo.</w:t>
            </w:r>
            <w:r w:rsidRPr="004302D6">
              <w:rPr>
                <w:rFonts w:ascii="HelveticaNeueLT Std" w:hAnsi="HelveticaNeueLT Std"/>
                <w:szCs w:val="18"/>
              </w:rPr>
              <w:tab/>
              <w:t xml:space="preserve">Para los efectos de los artículos 29-A, cuarto párrafo, 81, fracción XLVI y 82, fracción XLII del </w:t>
            </w:r>
            <w:proofErr w:type="spellStart"/>
            <w:r w:rsidRPr="004302D6">
              <w:rPr>
                <w:rFonts w:ascii="HelveticaNeueLT Std" w:hAnsi="HelveticaNeueLT Std"/>
                <w:szCs w:val="18"/>
              </w:rPr>
              <w:t>CFF</w:t>
            </w:r>
            <w:proofErr w:type="spellEnd"/>
            <w:r w:rsidRPr="004302D6">
              <w:rPr>
                <w:rFonts w:ascii="HelveticaNeueLT Std" w:hAnsi="HelveticaNeueLT Std"/>
                <w:szCs w:val="18"/>
              </w:rPr>
              <w:t xml:space="preserve">, se entiende que cumplen con lo dispuesto en el citado artículo 29-A, aquellos contribuyentes que realicen la cancelación de </w:t>
            </w:r>
            <w:proofErr w:type="spellStart"/>
            <w:r w:rsidRPr="004302D6">
              <w:rPr>
                <w:rFonts w:ascii="HelveticaNeueLT Std" w:hAnsi="HelveticaNeueLT Std"/>
                <w:szCs w:val="18"/>
              </w:rPr>
              <w:t>CFDI</w:t>
            </w:r>
            <w:proofErr w:type="spellEnd"/>
            <w:r w:rsidRPr="004302D6">
              <w:rPr>
                <w:rFonts w:ascii="HelveticaNeueLT Std" w:hAnsi="HelveticaNeueLT Std"/>
                <w:szCs w:val="18"/>
              </w:rPr>
              <w:t xml:space="preserve"> de ejercicios fiscales anteriores al ejercicio fiscal 2022, siempre que cumplan con lo siguiente:</w:t>
            </w:r>
          </w:p>
          <w:p w14:paraId="09CE8D9E" w14:textId="77777777" w:rsidR="004302D6" w:rsidRPr="004302D6" w:rsidRDefault="004302D6" w:rsidP="004302D6">
            <w:pPr>
              <w:pStyle w:val="Texto"/>
              <w:ind w:left="1553" w:hanging="992"/>
              <w:rPr>
                <w:rFonts w:ascii="HelveticaNeueLT Std" w:hAnsi="HelveticaNeueLT Std"/>
                <w:szCs w:val="18"/>
              </w:rPr>
            </w:pPr>
            <w:r w:rsidRPr="004302D6">
              <w:rPr>
                <w:rFonts w:ascii="HelveticaNeueLT Std" w:hAnsi="HelveticaNeueLT Std"/>
                <w:szCs w:val="18"/>
              </w:rPr>
              <w:tab/>
            </w:r>
            <w:r w:rsidRPr="004302D6">
              <w:rPr>
                <w:rFonts w:ascii="HelveticaNeueLT Std" w:hAnsi="HelveticaNeueLT Std"/>
                <w:b/>
                <w:szCs w:val="18"/>
              </w:rPr>
              <w:t>I.</w:t>
            </w:r>
            <w:r w:rsidRPr="004302D6">
              <w:rPr>
                <w:rFonts w:ascii="HelveticaNeueLT Std" w:hAnsi="HelveticaNeueLT Std"/>
                <w:szCs w:val="18"/>
              </w:rPr>
              <w:t xml:space="preserve"> a </w:t>
            </w:r>
            <w:r w:rsidRPr="004302D6">
              <w:rPr>
                <w:rFonts w:ascii="HelveticaNeueLT Std" w:hAnsi="HelveticaNeueLT Std"/>
                <w:b/>
                <w:szCs w:val="18"/>
              </w:rPr>
              <w:t>IV.</w:t>
            </w:r>
            <w:r w:rsidRPr="004302D6">
              <w:rPr>
                <w:rFonts w:ascii="HelveticaNeueLT Std" w:hAnsi="HelveticaNeueLT Std"/>
                <w:szCs w:val="18"/>
              </w:rPr>
              <w:t xml:space="preserve"> </w:t>
            </w:r>
            <w:r w:rsidRPr="004302D6">
              <w:rPr>
                <w:rFonts w:ascii="HelveticaNeueLT Std" w:hAnsi="HelveticaNeueLT Std"/>
                <w:b/>
                <w:szCs w:val="18"/>
              </w:rPr>
              <w:t>...</w:t>
            </w:r>
          </w:p>
          <w:p w14:paraId="541BADE1" w14:textId="77777777" w:rsidR="004302D6" w:rsidRPr="004302D6" w:rsidRDefault="004302D6" w:rsidP="004302D6">
            <w:pPr>
              <w:pStyle w:val="Texto"/>
              <w:ind w:left="1553" w:hanging="992"/>
              <w:rPr>
                <w:rFonts w:ascii="HelveticaNeueLT Std" w:hAnsi="HelveticaNeueLT Std"/>
                <w:szCs w:val="18"/>
              </w:rPr>
            </w:pPr>
            <w:r w:rsidRPr="004302D6">
              <w:rPr>
                <w:rFonts w:ascii="HelveticaNeueLT Std" w:hAnsi="HelveticaNeueLT Std"/>
                <w:b/>
                <w:szCs w:val="18"/>
              </w:rPr>
              <w:tab/>
              <w:t>...</w:t>
            </w:r>
          </w:p>
          <w:p w14:paraId="44EA7584" w14:textId="77777777" w:rsidR="004302D6" w:rsidRPr="004302D6" w:rsidRDefault="004302D6" w:rsidP="004302D6">
            <w:pPr>
              <w:pStyle w:val="Texto"/>
              <w:ind w:left="1553" w:hanging="992"/>
              <w:rPr>
                <w:rFonts w:ascii="HelveticaNeueLT Std" w:hAnsi="HelveticaNeueLT Std"/>
                <w:szCs w:val="18"/>
              </w:rPr>
            </w:pPr>
            <w:r w:rsidRPr="004302D6">
              <w:rPr>
                <w:rFonts w:ascii="HelveticaNeueLT Std" w:hAnsi="HelveticaNeueLT Std"/>
                <w:szCs w:val="18"/>
                <w:lang w:val="es-MX"/>
              </w:rPr>
              <w:tab/>
            </w:r>
            <w:r w:rsidRPr="004302D6">
              <w:rPr>
                <w:rFonts w:ascii="HelveticaNeueLT Std" w:hAnsi="HelveticaNeueLT Std"/>
                <w:szCs w:val="18"/>
              </w:rPr>
              <w:t>Lo dispuesto en el primer párrafo del presente transitorio estará vigente hasta el 31 de diciembre de 2022.</w:t>
            </w:r>
          </w:p>
          <w:p w14:paraId="71AB2E8E" w14:textId="77777777" w:rsidR="004302D6" w:rsidRPr="004302D6" w:rsidRDefault="004302D6" w:rsidP="004302D6">
            <w:pPr>
              <w:pStyle w:val="Texto"/>
              <w:ind w:left="1553" w:hanging="992"/>
              <w:rPr>
                <w:rFonts w:ascii="HelveticaNeueLT Std" w:hAnsi="HelveticaNeueLT Std"/>
                <w:szCs w:val="18"/>
              </w:rPr>
            </w:pPr>
            <w:r w:rsidRPr="004302D6">
              <w:rPr>
                <w:rFonts w:ascii="HelveticaNeueLT Std" w:hAnsi="HelveticaNeueLT Std"/>
                <w:b/>
                <w:szCs w:val="18"/>
              </w:rPr>
              <w:t>Quinto.</w:t>
            </w:r>
            <w:r w:rsidRPr="004302D6">
              <w:rPr>
                <w:rFonts w:ascii="HelveticaNeueLT Std" w:hAnsi="HelveticaNeueLT Std"/>
                <w:szCs w:val="18"/>
              </w:rPr>
              <w:tab/>
              <w:t xml:space="preserve">El Anexo 29 publicado en el </w:t>
            </w:r>
            <w:proofErr w:type="spellStart"/>
            <w:r w:rsidRPr="004302D6">
              <w:rPr>
                <w:rFonts w:ascii="HelveticaNeueLT Std" w:hAnsi="HelveticaNeueLT Std"/>
                <w:szCs w:val="18"/>
              </w:rPr>
              <w:t>DOF</w:t>
            </w:r>
            <w:proofErr w:type="spellEnd"/>
            <w:r w:rsidRPr="004302D6">
              <w:rPr>
                <w:rFonts w:ascii="HelveticaNeueLT Std" w:hAnsi="HelveticaNeueLT Std"/>
                <w:szCs w:val="18"/>
              </w:rPr>
              <w:t xml:space="preserve"> el 10 de mayo de 2021, será aplicable para la versión 3.3 de </w:t>
            </w:r>
            <w:proofErr w:type="spellStart"/>
            <w:r w:rsidRPr="004302D6">
              <w:rPr>
                <w:rFonts w:ascii="HelveticaNeueLT Std" w:hAnsi="HelveticaNeueLT Std"/>
                <w:szCs w:val="18"/>
              </w:rPr>
              <w:t>CFDI</w:t>
            </w:r>
            <w:proofErr w:type="spellEnd"/>
            <w:r w:rsidRPr="004302D6">
              <w:rPr>
                <w:rFonts w:ascii="HelveticaNeueLT Std" w:hAnsi="HelveticaNeueLT Std"/>
                <w:szCs w:val="18"/>
              </w:rPr>
              <w:t xml:space="preserve"> hasta el 30 de junio de 2022, excepto lo previsto en la fracción VI de dicho Anexo.</w:t>
            </w:r>
          </w:p>
          <w:p w14:paraId="4F25E31D" w14:textId="77777777" w:rsidR="004302D6" w:rsidRPr="004302D6" w:rsidRDefault="004302D6" w:rsidP="004302D6">
            <w:pPr>
              <w:pStyle w:val="Texto"/>
              <w:spacing w:after="0"/>
              <w:ind w:left="1553" w:hanging="992"/>
              <w:rPr>
                <w:rFonts w:ascii="HelveticaNeueLT Std" w:hAnsi="HelveticaNeueLT Std"/>
                <w:b/>
                <w:szCs w:val="18"/>
              </w:rPr>
            </w:pPr>
            <w:r w:rsidRPr="004302D6">
              <w:rPr>
                <w:rFonts w:ascii="HelveticaNeueLT Std" w:hAnsi="HelveticaNeueLT Std"/>
                <w:b/>
                <w:szCs w:val="18"/>
              </w:rPr>
              <w:t>Décimo</w:t>
            </w:r>
          </w:p>
          <w:p w14:paraId="7B86AE2B" w14:textId="77777777" w:rsidR="004302D6" w:rsidRPr="004302D6" w:rsidRDefault="004302D6" w:rsidP="004302D6">
            <w:pPr>
              <w:pStyle w:val="Texto"/>
              <w:ind w:left="1553" w:hanging="992"/>
              <w:rPr>
                <w:rFonts w:ascii="HelveticaNeueLT Std" w:hAnsi="HelveticaNeueLT Std"/>
                <w:szCs w:val="18"/>
              </w:rPr>
            </w:pPr>
            <w:r w:rsidRPr="004302D6">
              <w:rPr>
                <w:rFonts w:ascii="HelveticaNeueLT Std" w:hAnsi="HelveticaNeueLT Std"/>
                <w:b/>
                <w:szCs w:val="18"/>
              </w:rPr>
              <w:t>Sexto.</w:t>
            </w:r>
            <w:r w:rsidRPr="004302D6">
              <w:rPr>
                <w:rFonts w:ascii="HelveticaNeueLT Std" w:hAnsi="HelveticaNeueLT Std"/>
                <w:szCs w:val="18"/>
              </w:rPr>
              <w:tab/>
              <w:t xml:space="preserve">Los contribuyentes personas físicas que tributen en términos de la Sección IV del Capítulo II del Título IV de la Ley del </w:t>
            </w:r>
            <w:proofErr w:type="spellStart"/>
            <w:r w:rsidRPr="004302D6">
              <w:rPr>
                <w:rFonts w:ascii="HelveticaNeueLT Std" w:hAnsi="HelveticaNeueLT Std"/>
                <w:szCs w:val="18"/>
              </w:rPr>
              <w:t>ISR</w:t>
            </w:r>
            <w:proofErr w:type="spellEnd"/>
            <w:r w:rsidRPr="004302D6">
              <w:rPr>
                <w:rFonts w:ascii="HelveticaNeueLT Std" w:hAnsi="HelveticaNeueLT Std"/>
                <w:szCs w:val="18"/>
              </w:rPr>
              <w:t xml:space="preserve">, podrán expedir sus </w:t>
            </w:r>
            <w:proofErr w:type="spellStart"/>
            <w:r w:rsidRPr="004302D6">
              <w:rPr>
                <w:rFonts w:ascii="HelveticaNeueLT Std" w:hAnsi="HelveticaNeueLT Std"/>
                <w:szCs w:val="18"/>
              </w:rPr>
              <w:t>CFDI</w:t>
            </w:r>
            <w:proofErr w:type="spellEnd"/>
            <w:r w:rsidRPr="004302D6">
              <w:rPr>
                <w:rFonts w:ascii="HelveticaNeueLT Std" w:hAnsi="HelveticaNeueLT Std"/>
                <w:szCs w:val="18"/>
              </w:rPr>
              <w:t xml:space="preserve"> a través de las aplicaciones “Factura fácil” y “Mi nómina” de “Mis cuentas”, haciendo uso de la facilidad de sellar el </w:t>
            </w:r>
            <w:proofErr w:type="spellStart"/>
            <w:r w:rsidRPr="004302D6">
              <w:rPr>
                <w:rFonts w:ascii="HelveticaNeueLT Std" w:hAnsi="HelveticaNeueLT Std"/>
                <w:szCs w:val="18"/>
              </w:rPr>
              <w:t>CFDI</w:t>
            </w:r>
            <w:proofErr w:type="spellEnd"/>
            <w:r w:rsidRPr="004302D6">
              <w:rPr>
                <w:rFonts w:ascii="HelveticaNeueLT Std" w:hAnsi="HelveticaNeueLT Std"/>
                <w:szCs w:val="18"/>
              </w:rPr>
              <w:t xml:space="preserve"> sin la necesidad de contar con el certificado de </w:t>
            </w:r>
            <w:proofErr w:type="spellStart"/>
            <w:proofErr w:type="gramStart"/>
            <w:r w:rsidRPr="004302D6">
              <w:rPr>
                <w:rFonts w:ascii="HelveticaNeueLT Std" w:hAnsi="HelveticaNeueLT Std"/>
                <w:szCs w:val="18"/>
              </w:rPr>
              <w:t>e.firma</w:t>
            </w:r>
            <w:proofErr w:type="spellEnd"/>
            <w:proofErr w:type="gramEnd"/>
            <w:r w:rsidRPr="004302D6">
              <w:rPr>
                <w:rFonts w:ascii="HelveticaNeueLT Std" w:hAnsi="HelveticaNeueLT Std"/>
                <w:szCs w:val="18"/>
              </w:rPr>
              <w:t xml:space="preserve"> o de un CSD hasta el 31 de diciembre de 2022.</w:t>
            </w:r>
          </w:p>
          <w:p w14:paraId="47683827" w14:textId="5788B70C" w:rsidR="004302D6" w:rsidRDefault="004302D6" w:rsidP="004302D6">
            <w:pPr>
              <w:jc w:val="both"/>
              <w:rPr>
                <w:rFonts w:ascii="HelveticaNeueLT Std" w:hAnsi="HelveticaNeueLT Std"/>
                <w:sz w:val="18"/>
                <w:szCs w:val="18"/>
              </w:rPr>
            </w:pPr>
            <w:r w:rsidRPr="004302D6">
              <w:rPr>
                <w:rFonts w:ascii="HelveticaNeueLT Std" w:hAnsi="HelveticaNeueLT Std"/>
                <w:sz w:val="18"/>
                <w:szCs w:val="18"/>
              </w:rPr>
              <w:t xml:space="preserve">La presente Resolución entrará en vigor el día siguiente al de su publicación en el </w:t>
            </w:r>
            <w:proofErr w:type="spellStart"/>
            <w:r w:rsidRPr="004302D6">
              <w:rPr>
                <w:rFonts w:ascii="HelveticaNeueLT Std" w:hAnsi="HelveticaNeueLT Std"/>
                <w:sz w:val="18"/>
                <w:szCs w:val="18"/>
              </w:rPr>
              <w:t>DOF</w:t>
            </w:r>
            <w:proofErr w:type="spellEnd"/>
            <w:r w:rsidRPr="004302D6">
              <w:rPr>
                <w:rFonts w:ascii="HelveticaNeueLT Std" w:hAnsi="HelveticaNeueLT Std"/>
                <w:sz w:val="18"/>
                <w:szCs w:val="18"/>
              </w:rPr>
              <w:t xml:space="preserve"> y su contenido surtirá sus efectos en términos de la regla 1.8., tercer párrafo de la </w:t>
            </w:r>
            <w:proofErr w:type="spellStart"/>
            <w:r w:rsidRPr="004302D6">
              <w:rPr>
                <w:rFonts w:ascii="HelveticaNeueLT Std" w:hAnsi="HelveticaNeueLT Std"/>
                <w:sz w:val="18"/>
                <w:szCs w:val="18"/>
              </w:rPr>
              <w:t>RMF</w:t>
            </w:r>
            <w:proofErr w:type="spellEnd"/>
            <w:r w:rsidRPr="004302D6">
              <w:rPr>
                <w:rFonts w:ascii="HelveticaNeueLT Std" w:hAnsi="HelveticaNeueLT Std"/>
                <w:sz w:val="18"/>
                <w:szCs w:val="18"/>
              </w:rPr>
              <w:t xml:space="preserve"> para 2022.</w:t>
            </w:r>
          </w:p>
          <w:p w14:paraId="32E33594" w14:textId="0611425C" w:rsidR="004302D6" w:rsidRDefault="004302D6" w:rsidP="004302D6">
            <w:pPr>
              <w:jc w:val="both"/>
              <w:rPr>
                <w:rFonts w:ascii="HelveticaNeueLT Std" w:hAnsi="HelveticaNeueLT Std"/>
                <w:sz w:val="18"/>
                <w:szCs w:val="18"/>
              </w:rPr>
            </w:pPr>
          </w:p>
          <w:p w14:paraId="195ADEBC" w14:textId="559CD2EB" w:rsidR="004302D6" w:rsidRPr="004302D6" w:rsidRDefault="004302D6" w:rsidP="004302D6">
            <w:pPr>
              <w:jc w:val="both"/>
              <w:rPr>
                <w:rFonts w:ascii="HelveticaNeueLT Std" w:hAnsi="HelveticaNeueLT Std"/>
                <w:sz w:val="18"/>
                <w:szCs w:val="18"/>
              </w:rPr>
            </w:pPr>
            <w:r w:rsidRPr="004302D6">
              <w:rPr>
                <w:rFonts w:ascii="HelveticaNeueLT Std" w:hAnsi="HelveticaNeueLT Std"/>
                <w:sz w:val="18"/>
                <w:szCs w:val="18"/>
              </w:rPr>
              <w:t xml:space="preserve">Para los efectos de la regla 3.10.10., la declaración informativa relativa a la transparencia del patrimonio y al uso y destino de los donativos recibidos correspondiente al ejercicio fiscal 2021, podrá presentarse a más tardar el 2 de junio de </w:t>
            </w:r>
            <w:smartTag w:uri="urn:schemas-microsoft-com:office:smarttags" w:element="metricconverter">
              <w:smartTagPr>
                <w:attr w:name="ProductID" w:val="2022, a"/>
              </w:smartTagPr>
              <w:r w:rsidRPr="004302D6">
                <w:rPr>
                  <w:rFonts w:ascii="HelveticaNeueLT Std" w:hAnsi="HelveticaNeueLT Std"/>
                  <w:sz w:val="18"/>
                  <w:szCs w:val="18"/>
                </w:rPr>
                <w:t>2022, a</w:t>
              </w:r>
            </w:smartTag>
            <w:r w:rsidRPr="004302D6">
              <w:rPr>
                <w:rFonts w:ascii="HelveticaNeueLT Std" w:hAnsi="HelveticaNeueLT Std"/>
                <w:sz w:val="18"/>
                <w:szCs w:val="18"/>
              </w:rPr>
              <w:t xml:space="preserve"> través del programa electrónico que para tal efecto está a disposición de las organizaciones civiles y fideicomisos en el Portal del </w:t>
            </w:r>
            <w:proofErr w:type="spellStart"/>
            <w:r>
              <w:rPr>
                <w:rFonts w:ascii="HelveticaNeueLT Std" w:hAnsi="HelveticaNeueLT Std"/>
                <w:sz w:val="18"/>
                <w:szCs w:val="18"/>
              </w:rPr>
              <w:t>SAT</w:t>
            </w:r>
            <w:proofErr w:type="spellEnd"/>
            <w:r>
              <w:rPr>
                <w:rFonts w:ascii="HelveticaNeueLT Std" w:hAnsi="HelveticaNeueLT Std"/>
                <w:sz w:val="18"/>
                <w:szCs w:val="18"/>
              </w:rPr>
              <w:t xml:space="preserve">. </w:t>
            </w:r>
          </w:p>
          <w:p w14:paraId="5F2B6CEE" w14:textId="77777777" w:rsidR="004302D6" w:rsidRPr="004302D6" w:rsidRDefault="004302D6" w:rsidP="004302D6">
            <w:pPr>
              <w:jc w:val="both"/>
              <w:rPr>
                <w:rFonts w:ascii="HelveticaNeueLT Std" w:hAnsi="HelveticaNeueLT Std"/>
                <w:sz w:val="18"/>
                <w:szCs w:val="18"/>
              </w:rPr>
            </w:pPr>
          </w:p>
          <w:p w14:paraId="01E95734" w14:textId="1F1E501D" w:rsidR="00D42D04" w:rsidRPr="00196446" w:rsidRDefault="00D42D04" w:rsidP="00D42D04">
            <w:pPr>
              <w:jc w:val="both"/>
              <w:rPr>
                <w:rFonts w:ascii="HelveticaNeueLT Std" w:hAnsi="HelveticaNeueLT Std" w:cs="Arial"/>
                <w:color w:val="2F2F2F"/>
                <w:sz w:val="18"/>
                <w:szCs w:val="18"/>
                <w:shd w:val="clear" w:color="auto" w:fill="FFFFFF"/>
              </w:rPr>
            </w:pPr>
          </w:p>
        </w:tc>
      </w:tr>
      <w:tr w:rsidR="00614391" w:rsidRPr="000D4D13" w14:paraId="352273C0" w14:textId="77777777" w:rsidTr="00640434">
        <w:trPr>
          <w:trHeight w:val="277"/>
        </w:trPr>
        <w:tc>
          <w:tcPr>
            <w:tcW w:w="617" w:type="dxa"/>
            <w:tcBorders>
              <w:top w:val="single" w:sz="4" w:space="0" w:color="auto"/>
              <w:bottom w:val="single" w:sz="4" w:space="0" w:color="auto"/>
            </w:tcBorders>
          </w:tcPr>
          <w:p w14:paraId="09B2FD6E" w14:textId="77777777" w:rsidR="00614391" w:rsidRPr="000D4D13" w:rsidRDefault="00614391" w:rsidP="00614391">
            <w:pPr>
              <w:spacing w:line="276" w:lineRule="auto"/>
              <w:jc w:val="center"/>
              <w:rPr>
                <w:rFonts w:ascii="HelveticaNeueLT Std" w:hAnsi="HelveticaNeueLT Std" w:cs="Arial"/>
                <w:b/>
                <w:bCs/>
                <w:sz w:val="20"/>
                <w:szCs w:val="20"/>
              </w:rPr>
            </w:pPr>
          </w:p>
          <w:p w14:paraId="50CCA31B" w14:textId="2343C3E5" w:rsidR="00614391" w:rsidRDefault="00614391" w:rsidP="00614391">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26</w:t>
            </w:r>
          </w:p>
        </w:tc>
        <w:tc>
          <w:tcPr>
            <w:tcW w:w="2127" w:type="dxa"/>
            <w:tcBorders>
              <w:top w:val="single" w:sz="4" w:space="0" w:color="auto"/>
              <w:bottom w:val="single" w:sz="4" w:space="0" w:color="auto"/>
            </w:tcBorders>
          </w:tcPr>
          <w:p w14:paraId="4E345BAC" w14:textId="77777777" w:rsidR="00614391" w:rsidRPr="00B80921" w:rsidRDefault="00614391" w:rsidP="006143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49ADA4AF" w14:textId="4ABC3C15" w:rsidR="00614391" w:rsidRPr="00B80921" w:rsidRDefault="00614391" w:rsidP="006143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27</w:t>
            </w:r>
            <w:r>
              <w:rPr>
                <w:rFonts w:ascii="HelveticaNeueLT Std" w:eastAsia="MS Mincho" w:hAnsi="HelveticaNeueLT Std"/>
                <w:bCs/>
                <w:sz w:val="20"/>
                <w:szCs w:val="20"/>
                <w:lang w:eastAsia="en-US"/>
              </w:rPr>
              <w:t>-junio</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2</w:t>
            </w:r>
          </w:p>
          <w:p w14:paraId="2593A731" w14:textId="77777777" w:rsidR="00614391" w:rsidRPr="00B80921" w:rsidRDefault="00614391" w:rsidP="006143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2C81BF92" w14:textId="77777777" w:rsidR="00614391" w:rsidRPr="00B80921" w:rsidRDefault="00614391" w:rsidP="006143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559A160E" w14:textId="089F036F" w:rsidR="00614391" w:rsidRPr="00B80921" w:rsidRDefault="00614391" w:rsidP="006143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top w:val="single" w:sz="4" w:space="0" w:color="auto"/>
            </w:tcBorders>
          </w:tcPr>
          <w:p w14:paraId="57536010" w14:textId="77777777" w:rsidR="00614391" w:rsidRPr="00B80921" w:rsidRDefault="00614391" w:rsidP="006143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4991C22" w14:textId="77777777" w:rsidR="00614391" w:rsidRPr="00B80921" w:rsidRDefault="00614391" w:rsidP="006143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70D9016A" w14:textId="77777777" w:rsidR="00614391" w:rsidRPr="00B80921" w:rsidRDefault="00614391" w:rsidP="006143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34CE95C" w14:textId="50184122" w:rsidR="00614391" w:rsidRPr="00B80921" w:rsidRDefault="00614391" w:rsidP="00614391">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single" w:sz="4" w:space="0" w:color="auto"/>
              <w:bottom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614391" w14:paraId="1525792D" w14:textId="77777777" w:rsidTr="00D162FA">
              <w:trPr>
                <w:trHeight w:val="1075"/>
                <w:tblCellSpacing w:w="0" w:type="dxa"/>
              </w:trPr>
              <w:tc>
                <w:tcPr>
                  <w:tcW w:w="8832"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97"/>
                    <w:gridCol w:w="20"/>
                  </w:tblGrid>
                  <w:tr w:rsidR="00614391" w14:paraId="7EA571C9" w14:textId="77777777" w:rsidTr="00D162FA">
                    <w:trPr>
                      <w:tblCellSpacing w:w="0" w:type="dxa"/>
                    </w:trPr>
                    <w:tc>
                      <w:tcPr>
                        <w:tcW w:w="8832"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77"/>
                          <w:gridCol w:w="20"/>
                        </w:tblGrid>
                        <w:tr w:rsidR="00614391" w14:paraId="78B75545" w14:textId="77777777" w:rsidTr="00614391">
                          <w:trPr>
                            <w:tblCellSpacing w:w="0" w:type="dxa"/>
                          </w:trPr>
                          <w:tc>
                            <w:tcPr>
                              <w:tcW w:w="8832" w:type="dxa"/>
                              <w:shd w:val="clear" w:color="auto" w:fill="FFFFFF"/>
                              <w:vAlign w:val="center"/>
                              <w:hideMark/>
                            </w:tcPr>
                            <w:p w14:paraId="01590A97" w14:textId="77777777" w:rsidR="00614391" w:rsidRDefault="00614391" w:rsidP="00614391">
                              <w:pPr>
                                <w:jc w:val="both"/>
                                <w:rPr>
                                  <w:rFonts w:ascii="Arial" w:hAnsi="Arial" w:cs="Arial"/>
                                  <w:color w:val="2F2F2F"/>
                                  <w:sz w:val="22"/>
                                  <w:szCs w:val="22"/>
                                  <w:lang w:eastAsia="es-MX"/>
                                </w:rPr>
                              </w:pPr>
                              <w:hyperlink r:id="rId10" w:history="1">
                                <w:r w:rsidRPr="00614391">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mayo de 2022 y por el ajuste definitivo de participaciones del ejercicio de 2021.</w:t>
                                </w:r>
                              </w:hyperlink>
                            </w:p>
                          </w:tc>
                          <w:tc>
                            <w:tcPr>
                              <w:tcW w:w="6" w:type="dxa"/>
                              <w:shd w:val="clear" w:color="auto" w:fill="FFFFFF"/>
                              <w:vAlign w:val="center"/>
                              <w:hideMark/>
                            </w:tcPr>
                            <w:p w14:paraId="4FF803D1" w14:textId="77777777" w:rsidR="00614391" w:rsidRDefault="00614391" w:rsidP="00614391">
                              <w:pPr>
                                <w:rPr>
                                  <w:rFonts w:ascii="Arial" w:hAnsi="Arial" w:cs="Arial"/>
                                  <w:color w:val="2F2F2F"/>
                                  <w:sz w:val="22"/>
                                  <w:szCs w:val="22"/>
                                </w:rPr>
                              </w:pPr>
                            </w:p>
                          </w:tc>
                        </w:tr>
                        <w:tr w:rsidR="00614391" w14:paraId="2C331487" w14:textId="77777777" w:rsidTr="00614391">
                          <w:trPr>
                            <w:trHeight w:val="180"/>
                            <w:tblCellSpacing w:w="0" w:type="dxa"/>
                          </w:trPr>
                          <w:tc>
                            <w:tcPr>
                              <w:tcW w:w="8832" w:type="dxa"/>
                              <w:shd w:val="clear" w:color="auto" w:fill="FFFFFF"/>
                              <w:hideMark/>
                            </w:tcPr>
                            <w:p w14:paraId="2C4F3666" w14:textId="39CF2BCA" w:rsidR="00614391" w:rsidRDefault="00614391" w:rsidP="00614391">
                              <w:pPr>
                                <w:rPr>
                                  <w:rFonts w:ascii="Arial" w:hAnsi="Arial" w:cs="Arial"/>
                                  <w:color w:val="2F2F2F"/>
                                  <w:sz w:val="22"/>
                                  <w:szCs w:val="22"/>
                                </w:rPr>
                              </w:pPr>
                            </w:p>
                          </w:tc>
                          <w:tc>
                            <w:tcPr>
                              <w:tcW w:w="6" w:type="dxa"/>
                              <w:shd w:val="clear" w:color="auto" w:fill="FFFFFF"/>
                              <w:vAlign w:val="center"/>
                              <w:hideMark/>
                            </w:tcPr>
                            <w:p w14:paraId="75E6A41E" w14:textId="77777777" w:rsidR="00614391" w:rsidRDefault="00614391" w:rsidP="00614391">
                              <w:pPr>
                                <w:rPr>
                                  <w:sz w:val="20"/>
                                  <w:szCs w:val="20"/>
                                </w:rPr>
                              </w:pPr>
                            </w:p>
                          </w:tc>
                        </w:tr>
                      </w:tbl>
                      <w:p w14:paraId="4D87987B" w14:textId="5E4550BF" w:rsidR="00614391" w:rsidRDefault="00614391" w:rsidP="00614391">
                        <w:pPr>
                          <w:jc w:val="both"/>
                          <w:rPr>
                            <w:rFonts w:ascii="Arial" w:hAnsi="Arial" w:cs="Arial"/>
                            <w:color w:val="2F2F2F"/>
                            <w:sz w:val="22"/>
                            <w:szCs w:val="22"/>
                            <w:lang w:eastAsia="es-MX"/>
                          </w:rPr>
                        </w:pPr>
                      </w:p>
                    </w:tc>
                    <w:tc>
                      <w:tcPr>
                        <w:tcW w:w="6" w:type="dxa"/>
                        <w:shd w:val="clear" w:color="auto" w:fill="FFFFFF"/>
                        <w:vAlign w:val="center"/>
                        <w:hideMark/>
                      </w:tcPr>
                      <w:p w14:paraId="65F18C6F" w14:textId="77777777" w:rsidR="00614391" w:rsidRDefault="00614391" w:rsidP="00614391">
                        <w:pPr>
                          <w:rPr>
                            <w:rFonts w:ascii="Arial" w:hAnsi="Arial" w:cs="Arial"/>
                            <w:color w:val="2F2F2F"/>
                            <w:sz w:val="22"/>
                            <w:szCs w:val="22"/>
                          </w:rPr>
                        </w:pPr>
                      </w:p>
                    </w:tc>
                  </w:tr>
                  <w:tr w:rsidR="00614391" w14:paraId="06D9E9C5" w14:textId="77777777" w:rsidTr="00D162FA">
                    <w:trPr>
                      <w:trHeight w:val="180"/>
                      <w:tblCellSpacing w:w="0" w:type="dxa"/>
                    </w:trPr>
                    <w:tc>
                      <w:tcPr>
                        <w:tcW w:w="8832" w:type="dxa"/>
                        <w:shd w:val="clear" w:color="auto" w:fill="FFFFFF"/>
                        <w:hideMark/>
                      </w:tcPr>
                      <w:p w14:paraId="2C0B28B4" w14:textId="0BDACEAB" w:rsidR="00614391" w:rsidRDefault="00614391" w:rsidP="00614391">
                        <w:pPr>
                          <w:rPr>
                            <w:rFonts w:ascii="Arial" w:hAnsi="Arial" w:cs="Arial"/>
                            <w:color w:val="2F2F2F"/>
                            <w:sz w:val="22"/>
                            <w:szCs w:val="22"/>
                          </w:rPr>
                        </w:pPr>
                      </w:p>
                    </w:tc>
                    <w:tc>
                      <w:tcPr>
                        <w:tcW w:w="6" w:type="dxa"/>
                        <w:shd w:val="clear" w:color="auto" w:fill="FFFFFF"/>
                        <w:vAlign w:val="center"/>
                        <w:hideMark/>
                      </w:tcPr>
                      <w:p w14:paraId="43253E75" w14:textId="77777777" w:rsidR="00614391" w:rsidRDefault="00614391" w:rsidP="00614391">
                        <w:pPr>
                          <w:rPr>
                            <w:sz w:val="20"/>
                            <w:szCs w:val="20"/>
                          </w:rPr>
                        </w:pPr>
                      </w:p>
                    </w:tc>
                  </w:tr>
                </w:tbl>
                <w:p w14:paraId="70E9E72E" w14:textId="77777777" w:rsidR="00614391" w:rsidRDefault="00614391" w:rsidP="00614391">
                  <w:pPr>
                    <w:jc w:val="both"/>
                    <w:rPr>
                      <w:rFonts w:ascii="Arial" w:hAnsi="Arial" w:cs="Arial"/>
                      <w:color w:val="2F2F2F"/>
                      <w:sz w:val="22"/>
                      <w:szCs w:val="22"/>
                      <w:lang w:eastAsia="es-MX"/>
                    </w:rPr>
                  </w:pPr>
                </w:p>
              </w:tc>
              <w:tc>
                <w:tcPr>
                  <w:tcW w:w="6" w:type="dxa"/>
                  <w:shd w:val="clear" w:color="auto" w:fill="FFFFFF"/>
                  <w:vAlign w:val="center"/>
                  <w:hideMark/>
                </w:tcPr>
                <w:p w14:paraId="5856CDE4" w14:textId="77777777" w:rsidR="00614391" w:rsidRDefault="00614391" w:rsidP="00614391">
                  <w:pPr>
                    <w:rPr>
                      <w:rFonts w:ascii="Arial" w:hAnsi="Arial" w:cs="Arial"/>
                      <w:color w:val="2F2F2F"/>
                      <w:sz w:val="22"/>
                      <w:szCs w:val="22"/>
                    </w:rPr>
                  </w:pPr>
                </w:p>
              </w:tc>
            </w:tr>
            <w:tr w:rsidR="00614391" w14:paraId="5C247BC6" w14:textId="77777777" w:rsidTr="00D162FA">
              <w:trPr>
                <w:trHeight w:val="180"/>
                <w:tblCellSpacing w:w="0" w:type="dxa"/>
              </w:trPr>
              <w:tc>
                <w:tcPr>
                  <w:tcW w:w="8832" w:type="dxa"/>
                  <w:shd w:val="clear" w:color="auto" w:fill="FFFFFF"/>
                  <w:hideMark/>
                </w:tcPr>
                <w:p w14:paraId="59A6628D" w14:textId="77777777" w:rsidR="00614391" w:rsidRDefault="00614391" w:rsidP="00614391">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679134D3" wp14:editId="48A479CA">
                        <wp:extent cx="95250" cy="111125"/>
                        <wp:effectExtent l="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1125"/>
                                </a:xfrm>
                                <a:prstGeom prst="rect">
                                  <a:avLst/>
                                </a:prstGeom>
                                <a:noFill/>
                                <a:ln>
                                  <a:noFill/>
                                </a:ln>
                              </pic:spPr>
                            </pic:pic>
                          </a:graphicData>
                        </a:graphic>
                      </wp:inline>
                    </w:drawing>
                  </w:r>
                </w:p>
              </w:tc>
              <w:tc>
                <w:tcPr>
                  <w:tcW w:w="6" w:type="dxa"/>
                  <w:shd w:val="clear" w:color="auto" w:fill="FFFFFF"/>
                  <w:vAlign w:val="center"/>
                  <w:hideMark/>
                </w:tcPr>
                <w:p w14:paraId="5F1FA5B2" w14:textId="77777777" w:rsidR="00614391" w:rsidRDefault="00614391" w:rsidP="00614391">
                  <w:pPr>
                    <w:rPr>
                      <w:sz w:val="20"/>
                      <w:szCs w:val="20"/>
                    </w:rPr>
                  </w:pPr>
                </w:p>
              </w:tc>
            </w:tr>
          </w:tbl>
          <w:p w14:paraId="08A132D6" w14:textId="77777777" w:rsidR="00614391" w:rsidRDefault="00614391" w:rsidP="00614391"/>
        </w:tc>
        <w:tc>
          <w:tcPr>
            <w:tcW w:w="5812" w:type="dxa"/>
            <w:tcBorders>
              <w:top w:val="single" w:sz="4" w:space="0" w:color="auto"/>
            </w:tcBorders>
          </w:tcPr>
          <w:p w14:paraId="254A8929" w14:textId="19224B55" w:rsidR="00614391" w:rsidRDefault="00305C56" w:rsidP="00305C56">
            <w:pPr>
              <w:pStyle w:val="Texto"/>
              <w:ind w:firstLine="0"/>
              <w:rPr>
                <w:rFonts w:ascii="HelveticaNeueLT Std" w:eastAsia="MS Mincho" w:hAnsi="HelveticaNeueLT Std" w:cs="Times New Roman"/>
                <w:szCs w:val="18"/>
                <w:lang w:val="es-MX" w:eastAsia="en-US"/>
              </w:rPr>
            </w:pPr>
            <w:r w:rsidRPr="00305C56">
              <w:rPr>
                <w:rFonts w:ascii="HelveticaNeueLT Std" w:eastAsia="MS Mincho" w:hAnsi="HelveticaNeueLT Std" w:cs="Times New Roman"/>
                <w:szCs w:val="18"/>
                <w:lang w:val="es-MX" w:eastAsia="en-US"/>
              </w:rPr>
              <w:t xml:space="preserve">A través del presente acuerdo se da a conocer: </w:t>
            </w:r>
          </w:p>
          <w:p w14:paraId="638385BD" w14:textId="77777777" w:rsidR="00305C56" w:rsidRPr="00305C56" w:rsidRDefault="00305C56" w:rsidP="00305C56">
            <w:pPr>
              <w:pStyle w:val="Texto"/>
              <w:numPr>
                <w:ilvl w:val="0"/>
                <w:numId w:val="17"/>
              </w:numPr>
              <w:rPr>
                <w:rFonts w:ascii="HelveticaNeueLT Std" w:eastAsia="MS Mincho" w:hAnsi="HelveticaNeueLT Std" w:cs="Times New Roman"/>
                <w:szCs w:val="18"/>
                <w:lang w:val="es-MX" w:eastAsia="en-US"/>
              </w:rPr>
            </w:pPr>
            <w:r w:rsidRPr="00305C56">
              <w:rPr>
                <w:rFonts w:ascii="HelveticaNeueLT Std" w:eastAsia="MS Mincho" w:hAnsi="HelveticaNeueLT Std" w:cs="Times New Roman"/>
                <w:szCs w:val="18"/>
                <w:lang w:val="es-MX" w:eastAsia="en-US"/>
              </w:rPr>
              <w:t>La recaudación federal participable de abril de 2022, las participaciones en ingresos federales por el mes de mayo de 2022, así como el procedimiento seguido en la determinación e integración de las mismas. Las cifras correspondientes al mes de mayo de 2022 no incluyen deducciones derivadas de compromisos financieros contraídos por las entidades federativas.</w:t>
            </w:r>
          </w:p>
          <w:p w14:paraId="34BDB8EC" w14:textId="0E775FA9" w:rsidR="00305C56" w:rsidRDefault="00305C56" w:rsidP="00305C56">
            <w:pPr>
              <w:pStyle w:val="Texto"/>
              <w:numPr>
                <w:ilvl w:val="0"/>
                <w:numId w:val="17"/>
              </w:numPr>
              <w:spacing w:line="260" w:lineRule="exact"/>
              <w:rPr>
                <w:rFonts w:ascii="HelveticaNeueLT Std" w:eastAsia="MS Mincho" w:hAnsi="HelveticaNeueLT Std" w:cs="Times New Roman"/>
                <w:szCs w:val="18"/>
                <w:lang w:val="es-MX" w:eastAsia="en-US"/>
              </w:rPr>
            </w:pPr>
            <w:r w:rsidRPr="00305C56">
              <w:rPr>
                <w:rFonts w:ascii="HelveticaNeueLT Std" w:eastAsia="MS Mincho" w:hAnsi="HelveticaNeueLT Std" w:cs="Times New Roman"/>
                <w:szCs w:val="18"/>
                <w:lang w:val="es-MX" w:eastAsia="en-US"/>
              </w:rPr>
              <w:t>La recaudación federal participable, el cálculo de las participaciones en ingresos federales y la determinación de las diferencias por el ajuste definitivo de 2021.</w:t>
            </w:r>
          </w:p>
          <w:p w14:paraId="2B27E900" w14:textId="54A33003" w:rsidR="00305C56" w:rsidRPr="00305C56" w:rsidRDefault="00305C56" w:rsidP="00305C56">
            <w:pPr>
              <w:pStyle w:val="Texto"/>
              <w:numPr>
                <w:ilvl w:val="0"/>
                <w:numId w:val="17"/>
              </w:numPr>
              <w:spacing w:before="120" w:after="40" w:line="190" w:lineRule="exact"/>
              <w:rPr>
                <w:rFonts w:ascii="HelveticaNeueLT Std" w:eastAsia="MS Mincho" w:hAnsi="HelveticaNeueLT Std" w:cs="Times New Roman"/>
                <w:szCs w:val="18"/>
                <w:lang w:val="es-MX" w:eastAsia="en-US"/>
              </w:rPr>
            </w:pPr>
            <w:r w:rsidRPr="00305C56">
              <w:rPr>
                <w:rFonts w:ascii="HelveticaNeueLT Std" w:eastAsia="MS Mincho" w:hAnsi="HelveticaNeueLT Std" w:cs="Times New Roman"/>
                <w:szCs w:val="18"/>
                <w:lang w:val="es-MX" w:eastAsia="en-US"/>
              </w:rPr>
              <w:t>Las participaciones de los fondos y otros conceptos participables, señalados en el numeral primero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del ajuste definitivo correspondientes al ejercicio fiscal de 2022.</w:t>
            </w:r>
            <w:bookmarkStart w:id="0" w:name="_GoBack"/>
            <w:bookmarkEnd w:id="0"/>
          </w:p>
        </w:tc>
      </w:tr>
    </w:tbl>
    <w:p w14:paraId="2C3195A2" w14:textId="20DAADD6" w:rsidR="00F850EE" w:rsidRPr="000D4D13" w:rsidRDefault="00F850EE" w:rsidP="009A45CF">
      <w:pPr>
        <w:spacing w:line="276" w:lineRule="auto"/>
        <w:ind w:right="236"/>
        <w:jc w:val="both"/>
        <w:rPr>
          <w:rFonts w:ascii="HelveticaNeueLT Std" w:hAnsi="HelveticaNeueLT Std" w:cs="Arial"/>
          <w:color w:val="FF0000"/>
          <w:sz w:val="20"/>
          <w:szCs w:val="20"/>
        </w:rPr>
      </w:pPr>
    </w:p>
    <w:sectPr w:rsidR="00F850EE" w:rsidRPr="000D4D13" w:rsidSect="00DC256E">
      <w:headerReference w:type="default" r:id="rId11"/>
      <w:footerReference w:type="default" r:id="rId12"/>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36BAF" w14:textId="77777777" w:rsidR="00624AFC" w:rsidRDefault="00624AFC" w:rsidP="00FA6D75">
      <w:r>
        <w:separator/>
      </w:r>
    </w:p>
  </w:endnote>
  <w:endnote w:type="continuationSeparator" w:id="0">
    <w:p w14:paraId="2B67655A" w14:textId="77777777" w:rsidR="00624AFC" w:rsidRDefault="00624AFC"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4F025FF5"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305C56">
              <w:rPr>
                <w:rFonts w:ascii="Arial" w:hAnsi="Arial" w:cs="Arial"/>
                <w:b/>
                <w:bCs/>
                <w:noProof/>
                <w:sz w:val="20"/>
                <w:szCs w:val="20"/>
              </w:rPr>
              <w:t>4</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305C56">
              <w:rPr>
                <w:rFonts w:ascii="Arial" w:hAnsi="Arial" w:cs="Arial"/>
                <w:b/>
                <w:bCs/>
                <w:noProof/>
                <w:sz w:val="20"/>
                <w:szCs w:val="20"/>
              </w:rPr>
              <w:t>4</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hint="eastAsia"/>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8BAD0" w14:textId="77777777" w:rsidR="00624AFC" w:rsidRDefault="00624AFC" w:rsidP="00FA6D75">
      <w:r>
        <w:separator/>
      </w:r>
    </w:p>
  </w:footnote>
  <w:footnote w:type="continuationSeparator" w:id="0">
    <w:p w14:paraId="753EB7B1" w14:textId="77777777" w:rsidR="00624AFC" w:rsidRDefault="00624AFC"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03CC" w14:textId="1E9836EF" w:rsidR="00CA2C45" w:rsidRDefault="00CA2C45" w:rsidP="00CA2C45">
    <w:pPr>
      <w:pStyle w:val="Encabezado"/>
      <w:jc w:val="center"/>
      <w:rPr>
        <w:rFonts w:ascii="HelveticaNeueLT Std Lt" w:hAnsi="HelveticaNeueLT Std Lt" w:cs="Arial"/>
        <w:b/>
        <w:sz w:val="18"/>
        <w:szCs w:val="18"/>
      </w:rPr>
    </w:pP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CA4"/>
    <w:multiLevelType w:val="hybridMultilevel"/>
    <w:tmpl w:val="1A2EBC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3665A"/>
    <w:multiLevelType w:val="hybridMultilevel"/>
    <w:tmpl w:val="067AD8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607DBA"/>
    <w:multiLevelType w:val="hybridMultilevel"/>
    <w:tmpl w:val="524EFC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D73B2A"/>
    <w:multiLevelType w:val="hybridMultilevel"/>
    <w:tmpl w:val="D54E8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5D65BE"/>
    <w:multiLevelType w:val="hybridMultilevel"/>
    <w:tmpl w:val="E3666A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513A79"/>
    <w:multiLevelType w:val="hybridMultilevel"/>
    <w:tmpl w:val="D45E9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481050"/>
    <w:multiLevelType w:val="hybridMultilevel"/>
    <w:tmpl w:val="12967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226BD5"/>
    <w:multiLevelType w:val="hybridMultilevel"/>
    <w:tmpl w:val="367483EE"/>
    <w:lvl w:ilvl="0" w:tplc="23640E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865F32"/>
    <w:multiLevelType w:val="hybridMultilevel"/>
    <w:tmpl w:val="3FE0E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4A1BA0"/>
    <w:multiLevelType w:val="hybridMultilevel"/>
    <w:tmpl w:val="FCE449F4"/>
    <w:lvl w:ilvl="0" w:tplc="5BDA26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CC2BE2"/>
    <w:multiLevelType w:val="hybridMultilevel"/>
    <w:tmpl w:val="B4B40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C166AE"/>
    <w:multiLevelType w:val="hybridMultilevel"/>
    <w:tmpl w:val="5428DFE4"/>
    <w:lvl w:ilvl="0" w:tplc="FA02E26E">
      <w:start w:val="1"/>
      <w:numFmt w:val="upperRoman"/>
      <w:lvlText w:val="%1."/>
      <w:lvlJc w:val="left"/>
      <w:pPr>
        <w:ind w:left="288" w:hanging="720"/>
      </w:pPr>
      <w:rPr>
        <w:rFonts w:hint="default"/>
        <w:b/>
        <w:color w:val="000000"/>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14"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A90646"/>
    <w:multiLevelType w:val="hybridMultilevel"/>
    <w:tmpl w:val="BF22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3C7B85"/>
    <w:multiLevelType w:val="hybridMultilevel"/>
    <w:tmpl w:val="07801446"/>
    <w:lvl w:ilvl="0" w:tplc="080A000B">
      <w:start w:val="1"/>
      <w:numFmt w:val="bullet"/>
      <w:lvlText w:val=""/>
      <w:lvlJc w:val="left"/>
      <w:pPr>
        <w:ind w:left="288" w:hanging="360"/>
      </w:pPr>
      <w:rPr>
        <w:rFonts w:ascii="Wingdings" w:hAnsi="Wingdings"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num w:numId="1">
    <w:abstractNumId w:val="14"/>
  </w:num>
  <w:num w:numId="2">
    <w:abstractNumId w:val="9"/>
  </w:num>
  <w:num w:numId="3">
    <w:abstractNumId w:val="6"/>
  </w:num>
  <w:num w:numId="4">
    <w:abstractNumId w:val="12"/>
  </w:num>
  <w:num w:numId="5">
    <w:abstractNumId w:val="13"/>
  </w:num>
  <w:num w:numId="6">
    <w:abstractNumId w:val="16"/>
  </w:num>
  <w:num w:numId="7">
    <w:abstractNumId w:val="8"/>
  </w:num>
  <w:num w:numId="8">
    <w:abstractNumId w:val="5"/>
  </w:num>
  <w:num w:numId="9">
    <w:abstractNumId w:val="15"/>
  </w:num>
  <w:num w:numId="10">
    <w:abstractNumId w:val="11"/>
  </w:num>
  <w:num w:numId="11">
    <w:abstractNumId w:val="10"/>
  </w:num>
  <w:num w:numId="12">
    <w:abstractNumId w:val="1"/>
  </w:num>
  <w:num w:numId="13">
    <w:abstractNumId w:val="3"/>
  </w:num>
  <w:num w:numId="14">
    <w:abstractNumId w:val="4"/>
  </w:num>
  <w:num w:numId="15">
    <w:abstractNumId w:val="7"/>
  </w:num>
  <w:num w:numId="16">
    <w:abstractNumId w:val="2"/>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B8E"/>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446"/>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322B"/>
    <w:rsid w:val="001D328E"/>
    <w:rsid w:val="001D4A8B"/>
    <w:rsid w:val="001D5627"/>
    <w:rsid w:val="001D5735"/>
    <w:rsid w:val="001D5B57"/>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106AD"/>
    <w:rsid w:val="00210A32"/>
    <w:rsid w:val="002118CC"/>
    <w:rsid w:val="0021281C"/>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6EAE"/>
    <w:rsid w:val="0023796C"/>
    <w:rsid w:val="00240523"/>
    <w:rsid w:val="00241F5A"/>
    <w:rsid w:val="002421D1"/>
    <w:rsid w:val="00242DA9"/>
    <w:rsid w:val="00242F76"/>
    <w:rsid w:val="002441B0"/>
    <w:rsid w:val="00244970"/>
    <w:rsid w:val="00245351"/>
    <w:rsid w:val="0024547D"/>
    <w:rsid w:val="00245559"/>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630"/>
    <w:rsid w:val="002A6943"/>
    <w:rsid w:val="002A7BD0"/>
    <w:rsid w:val="002B0211"/>
    <w:rsid w:val="002B0780"/>
    <w:rsid w:val="002B1604"/>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23C6"/>
    <w:rsid w:val="00302D09"/>
    <w:rsid w:val="0030311F"/>
    <w:rsid w:val="00305C56"/>
    <w:rsid w:val="00306645"/>
    <w:rsid w:val="00310E50"/>
    <w:rsid w:val="00312DBE"/>
    <w:rsid w:val="003134DD"/>
    <w:rsid w:val="00313E3C"/>
    <w:rsid w:val="003146C6"/>
    <w:rsid w:val="00315C14"/>
    <w:rsid w:val="00316A48"/>
    <w:rsid w:val="00317659"/>
    <w:rsid w:val="00320DD6"/>
    <w:rsid w:val="00320F7B"/>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79F1"/>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80C"/>
    <w:rsid w:val="00420BE2"/>
    <w:rsid w:val="004215CC"/>
    <w:rsid w:val="004225CD"/>
    <w:rsid w:val="00422ABA"/>
    <w:rsid w:val="00423499"/>
    <w:rsid w:val="004238AD"/>
    <w:rsid w:val="00424205"/>
    <w:rsid w:val="00424EDD"/>
    <w:rsid w:val="00426134"/>
    <w:rsid w:val="00426164"/>
    <w:rsid w:val="00426B32"/>
    <w:rsid w:val="00426E19"/>
    <w:rsid w:val="00427C41"/>
    <w:rsid w:val="004302D6"/>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3835"/>
    <w:rsid w:val="00444E6E"/>
    <w:rsid w:val="00445E03"/>
    <w:rsid w:val="00446239"/>
    <w:rsid w:val="00446689"/>
    <w:rsid w:val="00446DAF"/>
    <w:rsid w:val="004479D8"/>
    <w:rsid w:val="0045198B"/>
    <w:rsid w:val="004530BF"/>
    <w:rsid w:val="004532D1"/>
    <w:rsid w:val="004538B4"/>
    <w:rsid w:val="004539C5"/>
    <w:rsid w:val="00453B70"/>
    <w:rsid w:val="00453BA5"/>
    <w:rsid w:val="004547A0"/>
    <w:rsid w:val="0045501D"/>
    <w:rsid w:val="0045552A"/>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70E9"/>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2749"/>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7F5"/>
    <w:rsid w:val="00531E4F"/>
    <w:rsid w:val="00532013"/>
    <w:rsid w:val="00532615"/>
    <w:rsid w:val="00532656"/>
    <w:rsid w:val="005326AC"/>
    <w:rsid w:val="005326D0"/>
    <w:rsid w:val="005327C3"/>
    <w:rsid w:val="005329D3"/>
    <w:rsid w:val="00534F32"/>
    <w:rsid w:val="005354DB"/>
    <w:rsid w:val="005356E4"/>
    <w:rsid w:val="00535917"/>
    <w:rsid w:val="005359D2"/>
    <w:rsid w:val="00536EC2"/>
    <w:rsid w:val="00537F10"/>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5F4810"/>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391"/>
    <w:rsid w:val="006145A7"/>
    <w:rsid w:val="00615FA2"/>
    <w:rsid w:val="0061655A"/>
    <w:rsid w:val="00616692"/>
    <w:rsid w:val="00620318"/>
    <w:rsid w:val="0062088D"/>
    <w:rsid w:val="00622EDC"/>
    <w:rsid w:val="006236A9"/>
    <w:rsid w:val="00624AFC"/>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434"/>
    <w:rsid w:val="006407E6"/>
    <w:rsid w:val="00641969"/>
    <w:rsid w:val="00641A46"/>
    <w:rsid w:val="00641C04"/>
    <w:rsid w:val="00643F94"/>
    <w:rsid w:val="0064533C"/>
    <w:rsid w:val="0064695F"/>
    <w:rsid w:val="00646D27"/>
    <w:rsid w:val="006505BB"/>
    <w:rsid w:val="00650A4D"/>
    <w:rsid w:val="00651489"/>
    <w:rsid w:val="00652135"/>
    <w:rsid w:val="0065241D"/>
    <w:rsid w:val="00652F43"/>
    <w:rsid w:val="0065359F"/>
    <w:rsid w:val="0065384B"/>
    <w:rsid w:val="006544EE"/>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D8A"/>
    <w:rsid w:val="006C1FE4"/>
    <w:rsid w:val="006C2A74"/>
    <w:rsid w:val="006C3CBE"/>
    <w:rsid w:val="006C4C9D"/>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6404"/>
    <w:rsid w:val="00756E04"/>
    <w:rsid w:val="00757B43"/>
    <w:rsid w:val="0076190A"/>
    <w:rsid w:val="00761C0F"/>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488"/>
    <w:rsid w:val="00986769"/>
    <w:rsid w:val="00986812"/>
    <w:rsid w:val="009869F4"/>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35F7"/>
    <w:rsid w:val="00A039BE"/>
    <w:rsid w:val="00A03A0F"/>
    <w:rsid w:val="00A046B7"/>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44F7"/>
    <w:rsid w:val="00A64EB3"/>
    <w:rsid w:val="00A66073"/>
    <w:rsid w:val="00A673CE"/>
    <w:rsid w:val="00A67442"/>
    <w:rsid w:val="00A67FC8"/>
    <w:rsid w:val="00A70FAB"/>
    <w:rsid w:val="00A71385"/>
    <w:rsid w:val="00A7151A"/>
    <w:rsid w:val="00A71836"/>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3337"/>
    <w:rsid w:val="00AD3552"/>
    <w:rsid w:val="00AD41F6"/>
    <w:rsid w:val="00AD4DA5"/>
    <w:rsid w:val="00AD5563"/>
    <w:rsid w:val="00AD5B80"/>
    <w:rsid w:val="00AD5D40"/>
    <w:rsid w:val="00AD6387"/>
    <w:rsid w:val="00AD6748"/>
    <w:rsid w:val="00AD7B10"/>
    <w:rsid w:val="00AD7C3D"/>
    <w:rsid w:val="00AE1C9F"/>
    <w:rsid w:val="00AE2EFA"/>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CB7"/>
    <w:rsid w:val="00C44A01"/>
    <w:rsid w:val="00C456FD"/>
    <w:rsid w:val="00C459CD"/>
    <w:rsid w:val="00C45AF1"/>
    <w:rsid w:val="00C45E5B"/>
    <w:rsid w:val="00C47646"/>
    <w:rsid w:val="00C5031F"/>
    <w:rsid w:val="00C50623"/>
    <w:rsid w:val="00C51CC7"/>
    <w:rsid w:val="00C53CC8"/>
    <w:rsid w:val="00C55811"/>
    <w:rsid w:val="00C55AC1"/>
    <w:rsid w:val="00C55C68"/>
    <w:rsid w:val="00C55C8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4434"/>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BD0"/>
    <w:rsid w:val="00D23EEA"/>
    <w:rsid w:val="00D24988"/>
    <w:rsid w:val="00D267E8"/>
    <w:rsid w:val="00D270EB"/>
    <w:rsid w:val="00D273FB"/>
    <w:rsid w:val="00D27479"/>
    <w:rsid w:val="00D30A60"/>
    <w:rsid w:val="00D317B7"/>
    <w:rsid w:val="00D33AED"/>
    <w:rsid w:val="00D33F86"/>
    <w:rsid w:val="00D341D4"/>
    <w:rsid w:val="00D35A1B"/>
    <w:rsid w:val="00D40019"/>
    <w:rsid w:val="00D40614"/>
    <w:rsid w:val="00D40847"/>
    <w:rsid w:val="00D40FF0"/>
    <w:rsid w:val="00D427DB"/>
    <w:rsid w:val="00D42D04"/>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25D5"/>
    <w:rsid w:val="00D93C3F"/>
    <w:rsid w:val="00D94525"/>
    <w:rsid w:val="00D95016"/>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E3A"/>
    <w:rsid w:val="00DC68F4"/>
    <w:rsid w:val="00DC6BBA"/>
    <w:rsid w:val="00DC7260"/>
    <w:rsid w:val="00DC7E20"/>
    <w:rsid w:val="00DD0105"/>
    <w:rsid w:val="00DD02D8"/>
    <w:rsid w:val="00DD02FF"/>
    <w:rsid w:val="00DD1EFC"/>
    <w:rsid w:val="00DD5CB8"/>
    <w:rsid w:val="00DD5EB2"/>
    <w:rsid w:val="00DD733B"/>
    <w:rsid w:val="00DD7C82"/>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2BAF"/>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866"/>
    <w:rsid w:val="00E2626C"/>
    <w:rsid w:val="00E2701C"/>
    <w:rsid w:val="00E27A20"/>
    <w:rsid w:val="00E27F63"/>
    <w:rsid w:val="00E30522"/>
    <w:rsid w:val="00E3128F"/>
    <w:rsid w:val="00E31682"/>
    <w:rsid w:val="00E31FDE"/>
    <w:rsid w:val="00E328EB"/>
    <w:rsid w:val="00E342D1"/>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4B51"/>
    <w:rsid w:val="00EF5894"/>
    <w:rsid w:val="00EF6B14"/>
    <w:rsid w:val="00EF7B92"/>
    <w:rsid w:val="00EF7C1B"/>
    <w:rsid w:val="00F00E6D"/>
    <w:rsid w:val="00F012F7"/>
    <w:rsid w:val="00F02734"/>
    <w:rsid w:val="00F02F14"/>
    <w:rsid w:val="00F04A0B"/>
    <w:rsid w:val="00F04BBF"/>
    <w:rsid w:val="00F05357"/>
    <w:rsid w:val="00F06BC5"/>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7A2"/>
    <w:rsid w:val="00F23DAE"/>
    <w:rsid w:val="00F265D5"/>
    <w:rsid w:val="00F26837"/>
    <w:rsid w:val="00F31772"/>
    <w:rsid w:val="00F31B2E"/>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150D"/>
    <w:rsid w:val="00FA1712"/>
    <w:rsid w:val="00FA1EA4"/>
    <w:rsid w:val="00FA30D2"/>
    <w:rsid w:val="00FA35A6"/>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CF3"/>
    <w:rsid w:val="00FD0263"/>
    <w:rsid w:val="00FD09EE"/>
    <w:rsid w:val="00FD2AA7"/>
    <w:rsid w:val="00FD45DC"/>
    <w:rsid w:val="00FD46EE"/>
    <w:rsid w:val="00FD4CED"/>
    <w:rsid w:val="00FD514D"/>
    <w:rsid w:val="00FD56DB"/>
    <w:rsid w:val="00FD6560"/>
    <w:rsid w:val="00FD69F3"/>
    <w:rsid w:val="00FE02D1"/>
    <w:rsid w:val="00FE0C38"/>
    <w:rsid w:val="00FE1C95"/>
    <w:rsid w:val="00FE5429"/>
    <w:rsid w:val="00FE61C0"/>
    <w:rsid w:val="00FE65DD"/>
    <w:rsid w:val="00FF11FA"/>
    <w:rsid w:val="00FF1205"/>
    <w:rsid w:val="00FF1C71"/>
    <w:rsid w:val="00FF1F23"/>
    <w:rsid w:val="00FF1FF5"/>
    <w:rsid w:val="00FF4313"/>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0150569">
      <w:bodyDiv w:val="1"/>
      <w:marLeft w:val="0"/>
      <w:marRight w:val="0"/>
      <w:marTop w:val="0"/>
      <w:marBottom w:val="0"/>
      <w:divBdr>
        <w:top w:val="none" w:sz="0" w:space="0" w:color="auto"/>
        <w:left w:val="none" w:sz="0" w:space="0" w:color="auto"/>
        <w:bottom w:val="none" w:sz="0" w:space="0" w:color="auto"/>
        <w:right w:val="none" w:sz="0" w:space="0" w:color="auto"/>
      </w:divBdr>
      <w:divsChild>
        <w:div w:id="577909444">
          <w:marLeft w:val="0"/>
          <w:marRight w:val="0"/>
          <w:marTop w:val="0"/>
          <w:marBottom w:val="101"/>
          <w:divBdr>
            <w:top w:val="none" w:sz="0" w:space="0" w:color="auto"/>
            <w:left w:val="none" w:sz="0" w:space="0" w:color="auto"/>
            <w:bottom w:val="none" w:sz="0" w:space="0" w:color="auto"/>
            <w:right w:val="none" w:sz="0" w:space="0" w:color="auto"/>
          </w:divBdr>
        </w:div>
        <w:div w:id="274211161">
          <w:marLeft w:val="0"/>
          <w:marRight w:val="0"/>
          <w:marTop w:val="0"/>
          <w:marBottom w:val="101"/>
          <w:divBdr>
            <w:top w:val="none" w:sz="0" w:space="0" w:color="auto"/>
            <w:left w:val="none" w:sz="0" w:space="0" w:color="auto"/>
            <w:bottom w:val="none" w:sz="0" w:space="0" w:color="auto"/>
            <w:right w:val="none" w:sz="0" w:space="0" w:color="auto"/>
          </w:divBdr>
        </w:div>
        <w:div w:id="1917015406">
          <w:marLeft w:val="0"/>
          <w:marRight w:val="0"/>
          <w:marTop w:val="0"/>
          <w:marBottom w:val="101"/>
          <w:divBdr>
            <w:top w:val="none" w:sz="0" w:space="0" w:color="auto"/>
            <w:left w:val="none" w:sz="0" w:space="0" w:color="auto"/>
            <w:bottom w:val="none" w:sz="0" w:space="0" w:color="auto"/>
            <w:right w:val="none" w:sz="0" w:space="0" w:color="auto"/>
          </w:divBdr>
        </w:div>
        <w:div w:id="1803230153">
          <w:marLeft w:val="0"/>
          <w:marRight w:val="0"/>
          <w:marTop w:val="0"/>
          <w:marBottom w:val="101"/>
          <w:divBdr>
            <w:top w:val="none" w:sz="0" w:space="0" w:color="auto"/>
            <w:left w:val="none" w:sz="0" w:space="0" w:color="auto"/>
            <w:bottom w:val="none" w:sz="0" w:space="0" w:color="auto"/>
            <w:right w:val="none" w:sz="0" w:space="0" w:color="auto"/>
          </w:divBdr>
        </w:div>
      </w:divsChild>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72673570">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03157572">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331121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1">
          <w:marLeft w:val="0"/>
          <w:marRight w:val="0"/>
          <w:marTop w:val="0"/>
          <w:marBottom w:val="101"/>
          <w:divBdr>
            <w:top w:val="none" w:sz="0" w:space="0" w:color="auto"/>
            <w:left w:val="none" w:sz="0" w:space="0" w:color="auto"/>
            <w:bottom w:val="none" w:sz="0" w:space="0" w:color="auto"/>
            <w:right w:val="none" w:sz="0" w:space="0" w:color="auto"/>
          </w:divBdr>
        </w:div>
        <w:div w:id="900675079">
          <w:marLeft w:val="0"/>
          <w:marRight w:val="0"/>
          <w:marTop w:val="0"/>
          <w:marBottom w:val="101"/>
          <w:divBdr>
            <w:top w:val="none" w:sz="0" w:space="0" w:color="auto"/>
            <w:left w:val="none" w:sz="0" w:space="0" w:color="auto"/>
            <w:bottom w:val="none" w:sz="0" w:space="0" w:color="auto"/>
            <w:right w:val="none" w:sz="0" w:space="0" w:color="auto"/>
          </w:divBdr>
        </w:div>
        <w:div w:id="957100381">
          <w:marLeft w:val="0"/>
          <w:marRight w:val="0"/>
          <w:marTop w:val="0"/>
          <w:marBottom w:val="101"/>
          <w:divBdr>
            <w:top w:val="none" w:sz="0" w:space="0" w:color="auto"/>
            <w:left w:val="none" w:sz="0" w:space="0" w:color="auto"/>
            <w:bottom w:val="none" w:sz="0" w:space="0" w:color="auto"/>
            <w:right w:val="none" w:sz="0" w:space="0" w:color="auto"/>
          </w:divBdr>
        </w:div>
        <w:div w:id="1275480461">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05866914">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54590&amp;fecha=09/06/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of.gob.mx/nota_detalle.php?codigo=5656245&amp;fecha=27/06/202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AAF1-BAF5-4BC5-831D-E28797E7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3158</TotalTime>
  <Pages>4</Pages>
  <Words>1011</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71</cp:revision>
  <cp:lastPrinted>2021-01-29T22:36:00Z</cp:lastPrinted>
  <dcterms:created xsi:type="dcterms:W3CDTF">2019-01-03T20:20:00Z</dcterms:created>
  <dcterms:modified xsi:type="dcterms:W3CDTF">2022-06-30T15:59:00Z</dcterms:modified>
</cp:coreProperties>
</file>